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B550B">
      <w:pPr>
        <w:pStyle w:val="63"/>
        <w:tabs>
          <w:tab w:val="left" w:leader="underscore" w:pos="1123"/>
        </w:tabs>
        <w:spacing w:after="360" w:line="240" w:lineRule="auto"/>
        <w:ind w:firstLine="0"/>
        <w:jc w:val="both"/>
        <w:rPr>
          <w:rStyle w:val="62"/>
          <w:rFonts w:hint="default" w:ascii="仿宋" w:hAnsi="仿宋" w:eastAsia="仿宋" w:cs="仿宋"/>
          <w:color w:val="auto"/>
          <w:sz w:val="26"/>
          <w:highlight w:val="none"/>
          <w:lang w:val="en-US"/>
        </w:rPr>
      </w:pPr>
      <w:r>
        <w:rPr>
          <w:rStyle w:val="62"/>
          <w:rFonts w:hint="eastAsia" w:ascii="仿宋" w:hAnsi="仿宋" w:eastAsia="仿宋" w:cs="仿宋"/>
          <w:color w:val="auto"/>
          <w:sz w:val="26"/>
          <w:highlight w:val="none"/>
          <w:lang w:val="en-US"/>
        </w:rPr>
        <w:t>·</w:t>
      </w:r>
      <w:r>
        <w:rPr>
          <w:rStyle w:val="62"/>
          <w:rFonts w:hint="eastAsia" w:ascii="仿宋" w:hAnsi="仿宋" w:eastAsia="仿宋" w:cs="仿宋"/>
          <w:color w:val="auto"/>
          <w:sz w:val="26"/>
          <w:highlight w:val="none"/>
          <w:lang w:val="en-US"/>
        </w:rPr>
        <w:tab/>
      </w:r>
    </w:p>
    <w:p w14:paraId="4C930B19">
      <w:pPr>
        <w:pStyle w:val="63"/>
        <w:tabs>
          <w:tab w:val="left" w:leader="underscore" w:pos="1123"/>
        </w:tabs>
        <w:spacing w:after="360" w:line="240" w:lineRule="auto"/>
        <w:ind w:firstLine="0"/>
        <w:jc w:val="center"/>
        <w:rPr>
          <w:rFonts w:hint="eastAsia" w:ascii="仿宋" w:hAnsi="仿宋" w:eastAsia="仿宋" w:cs="仿宋"/>
          <w:color w:val="auto"/>
          <w:sz w:val="28"/>
          <w:szCs w:val="28"/>
          <w:highlight w:val="none"/>
          <w:u w:val="single"/>
        </w:rPr>
      </w:pPr>
      <w:r>
        <w:rPr>
          <w:rFonts w:hint="eastAsia" w:ascii="仿宋" w:hAnsi="仿宋" w:eastAsia="仿宋" w:cs="仿宋"/>
          <w:b/>
          <w:bCs/>
          <w:color w:val="auto"/>
          <w:sz w:val="28"/>
          <w:szCs w:val="28"/>
          <w:highlight w:val="none"/>
          <w:u w:val="single"/>
          <w:lang w:val="en-US" w:eastAsia="zh-CN"/>
        </w:rPr>
        <w:t>赣州旅投景区管理集团有限公司食堂2026-2027年度食材供应－框架协议供应商入围征集项目</w:t>
      </w:r>
    </w:p>
    <w:p w14:paraId="62ED81B5">
      <w:pPr>
        <w:pStyle w:val="63"/>
        <w:tabs>
          <w:tab w:val="left" w:leader="underscore" w:pos="2830"/>
        </w:tabs>
        <w:spacing w:after="1440" w:line="240" w:lineRule="auto"/>
        <w:ind w:firstLine="0"/>
        <w:jc w:val="center"/>
        <w:rPr>
          <w:rFonts w:hint="eastAsia" w:ascii="仿宋" w:hAnsi="仿宋" w:eastAsia="仿宋" w:cs="仿宋"/>
          <w:b/>
          <w:bCs/>
          <w:color w:val="auto"/>
          <w:sz w:val="28"/>
          <w:szCs w:val="28"/>
          <w:highlight w:val="none"/>
        </w:rPr>
      </w:pPr>
      <w:r>
        <w:rPr>
          <w:rStyle w:val="62"/>
          <w:rFonts w:hint="eastAsia" w:ascii="仿宋" w:hAnsi="仿宋" w:eastAsia="仿宋" w:cs="仿宋"/>
          <w:b/>
          <w:bCs/>
          <w:color w:val="auto"/>
          <w:sz w:val="28"/>
          <w:szCs w:val="28"/>
          <w:highlight w:val="none"/>
        </w:rPr>
        <w:t>（</w:t>
      </w:r>
      <w:r>
        <w:rPr>
          <w:rStyle w:val="62"/>
          <w:rFonts w:hint="eastAsia" w:ascii="仿宋" w:hAnsi="仿宋" w:eastAsia="仿宋" w:cs="仿宋"/>
          <w:b/>
          <w:bCs/>
          <w:color w:val="auto"/>
          <w:sz w:val="28"/>
          <w:szCs w:val="28"/>
          <w:highlight w:val="none"/>
          <w:lang w:val="en-US"/>
        </w:rPr>
        <w:t>采购</w:t>
      </w:r>
      <w:r>
        <w:rPr>
          <w:rStyle w:val="62"/>
          <w:rFonts w:hint="eastAsia" w:ascii="仿宋" w:hAnsi="仿宋" w:eastAsia="仿宋" w:cs="仿宋"/>
          <w:b/>
          <w:bCs/>
          <w:color w:val="auto"/>
          <w:sz w:val="28"/>
          <w:szCs w:val="28"/>
          <w:highlight w:val="none"/>
        </w:rPr>
        <w:t>编号：</w:t>
      </w:r>
      <w:r>
        <w:rPr>
          <w:rStyle w:val="62"/>
          <w:rFonts w:hint="eastAsia" w:ascii="仿宋" w:hAnsi="仿宋" w:eastAsia="仿宋" w:cs="仿宋"/>
          <w:b/>
          <w:bCs/>
          <w:color w:val="auto"/>
          <w:sz w:val="28"/>
          <w:szCs w:val="28"/>
          <w:highlight w:val="none"/>
          <w:u w:val="single"/>
          <w:lang w:val="en-US"/>
        </w:rPr>
        <w:t xml:space="preserve">    </w:t>
      </w:r>
      <w:r>
        <w:rPr>
          <w:rStyle w:val="62"/>
          <w:rFonts w:hint="eastAsia" w:ascii="仿宋" w:hAnsi="仿宋" w:eastAsia="仿宋" w:cs="仿宋"/>
          <w:b/>
          <w:bCs/>
          <w:color w:val="auto"/>
          <w:sz w:val="28"/>
          <w:szCs w:val="28"/>
          <w:highlight w:val="none"/>
          <w:u w:val="none"/>
        </w:rPr>
        <w:t>）</w:t>
      </w:r>
    </w:p>
    <w:p w14:paraId="34CD8C60">
      <w:pPr>
        <w:pStyle w:val="63"/>
        <w:spacing w:after="5680" w:line="480" w:lineRule="auto"/>
        <w:ind w:firstLine="0"/>
        <w:jc w:val="center"/>
        <w:rPr>
          <w:rStyle w:val="62"/>
          <w:rFonts w:hint="eastAsia" w:ascii="仿宋" w:hAnsi="仿宋" w:eastAsia="仿宋" w:cs="仿宋"/>
          <w:b/>
          <w:bCs/>
          <w:color w:val="auto"/>
          <w:sz w:val="50"/>
          <w:szCs w:val="50"/>
          <w:highlight w:val="none"/>
        </w:rPr>
      </w:pPr>
      <w:r>
        <w:rPr>
          <w:rStyle w:val="62"/>
          <w:rFonts w:hint="eastAsia" w:ascii="仿宋" w:hAnsi="仿宋" w:eastAsia="仿宋" w:cs="仿宋"/>
          <w:b/>
          <w:bCs/>
          <w:color w:val="auto"/>
          <w:spacing w:val="166"/>
          <w:kern w:val="0"/>
          <w:sz w:val="50"/>
          <w:szCs w:val="50"/>
          <w:highlight w:val="none"/>
          <w:fitText w:val="3000" w:id="1857494822"/>
          <w:lang w:val="en-US"/>
        </w:rPr>
        <w:t>征集</w:t>
      </w:r>
      <w:r>
        <w:rPr>
          <w:rStyle w:val="62"/>
          <w:rFonts w:hint="eastAsia" w:ascii="仿宋" w:hAnsi="仿宋" w:eastAsia="仿宋" w:cs="仿宋"/>
          <w:b/>
          <w:bCs/>
          <w:color w:val="auto"/>
          <w:spacing w:val="166"/>
          <w:kern w:val="0"/>
          <w:sz w:val="50"/>
          <w:szCs w:val="50"/>
          <w:highlight w:val="none"/>
          <w:fitText w:val="3000" w:id="1857494822"/>
        </w:rPr>
        <w:t>文</w:t>
      </w:r>
      <w:r>
        <w:rPr>
          <w:rStyle w:val="62"/>
          <w:rFonts w:hint="eastAsia" w:ascii="仿宋" w:hAnsi="仿宋" w:eastAsia="仿宋" w:cs="仿宋"/>
          <w:b/>
          <w:bCs/>
          <w:color w:val="auto"/>
          <w:spacing w:val="2"/>
          <w:kern w:val="0"/>
          <w:sz w:val="50"/>
          <w:szCs w:val="50"/>
          <w:highlight w:val="none"/>
          <w:fitText w:val="3000" w:id="1857494822"/>
        </w:rPr>
        <w:t>件</w:t>
      </w:r>
    </w:p>
    <w:p w14:paraId="09DF39BE">
      <w:pPr>
        <w:spacing w:after="313" w:afterLines="100" w:line="360" w:lineRule="auto"/>
        <w:jc w:val="center"/>
        <w:rPr>
          <w:rStyle w:val="62"/>
          <w:rFonts w:hint="eastAsia" w:ascii="仿宋" w:hAnsi="仿宋" w:eastAsia="仿宋" w:cs="仿宋"/>
          <w:b/>
          <w:bCs/>
          <w:color w:val="auto"/>
          <w:sz w:val="26"/>
          <w:highlight w:val="none"/>
          <w:lang w:val="en-US"/>
        </w:rPr>
      </w:pPr>
      <w:r>
        <w:rPr>
          <w:rFonts w:hint="eastAsia" w:ascii="仿宋" w:hAnsi="仿宋" w:eastAsia="仿宋" w:cs="仿宋"/>
          <w:b/>
          <w:bCs/>
          <w:color w:val="auto"/>
          <w:highlight w:val="none"/>
          <w:lang w:val="en-US" w:eastAsia="zh-CN"/>
        </w:rPr>
        <w:t>采购</w:t>
      </w:r>
      <w:r>
        <w:rPr>
          <w:rFonts w:hint="eastAsia" w:ascii="仿宋" w:hAnsi="仿宋" w:eastAsia="仿宋" w:cs="仿宋"/>
          <w:b/>
          <w:bCs/>
          <w:color w:val="auto"/>
          <w:highlight w:val="none"/>
        </w:rPr>
        <w:t>人：</w:t>
      </w:r>
      <w:r>
        <w:rPr>
          <w:rFonts w:hint="eastAsia" w:ascii="仿宋" w:hAnsi="仿宋" w:eastAsia="仿宋" w:cs="仿宋"/>
          <w:b/>
          <w:bCs/>
          <w:color w:val="auto"/>
          <w:highlight w:val="none"/>
        </w:rPr>
        <w:tab/>
      </w:r>
      <w:r>
        <w:rPr>
          <w:rFonts w:hint="eastAsia" w:ascii="仿宋" w:hAnsi="仿宋" w:eastAsia="仿宋" w:cs="仿宋"/>
          <w:b/>
          <w:bCs/>
          <w:color w:val="auto"/>
          <w:highlight w:val="none"/>
          <w:u w:val="single"/>
          <w:lang w:eastAsia="zh-CN"/>
        </w:rPr>
        <w:t>赣州旅投景区管理集团有限公司</w:t>
      </w:r>
    </w:p>
    <w:p w14:paraId="656B5B83">
      <w:pPr>
        <w:spacing w:line="360" w:lineRule="auto"/>
        <w:jc w:val="center"/>
        <w:rPr>
          <w:rFonts w:hint="eastAsia" w:ascii="仿宋" w:hAnsi="仿宋" w:eastAsia="仿宋" w:cs="仿宋"/>
          <w:color w:val="auto"/>
          <w:highlight w:val="none"/>
        </w:rPr>
        <w:sectPr>
          <w:footerReference r:id="rId3" w:type="default"/>
          <w:pgSz w:w="11906" w:h="16838"/>
          <w:pgMar w:top="1440" w:right="1800" w:bottom="1440" w:left="1800" w:header="851" w:footer="992" w:gutter="0"/>
          <w:pgNumType w:start="1"/>
          <w:cols w:space="720" w:num="1"/>
          <w:docGrid w:type="lines" w:linePitch="312" w:charSpace="0"/>
        </w:sectPr>
      </w:pPr>
      <w:r>
        <w:rPr>
          <w:rStyle w:val="62"/>
          <w:rFonts w:hint="eastAsia" w:ascii="仿宋" w:hAnsi="仿宋" w:eastAsia="仿宋" w:cs="仿宋"/>
          <w:b/>
          <w:bCs/>
          <w:color w:val="auto"/>
          <w:sz w:val="26"/>
          <w:highlight w:val="none"/>
          <w:u w:val="single"/>
          <w:lang w:val="en-US"/>
        </w:rPr>
        <w:t>2026</w:t>
      </w:r>
      <w:r>
        <w:rPr>
          <w:rStyle w:val="62"/>
          <w:rFonts w:hint="eastAsia" w:ascii="仿宋" w:hAnsi="仿宋" w:eastAsia="仿宋" w:cs="仿宋"/>
          <w:b/>
          <w:bCs/>
          <w:color w:val="auto"/>
          <w:sz w:val="26"/>
          <w:highlight w:val="none"/>
          <w:lang w:val="en-US"/>
        </w:rPr>
        <w:t>年</w:t>
      </w:r>
      <w:r>
        <w:rPr>
          <w:rStyle w:val="62"/>
          <w:rFonts w:hint="eastAsia" w:ascii="仿宋" w:hAnsi="仿宋" w:eastAsia="仿宋" w:cs="仿宋"/>
          <w:b/>
          <w:bCs/>
          <w:color w:val="auto"/>
          <w:sz w:val="26"/>
          <w:highlight w:val="none"/>
          <w:u w:val="single"/>
          <w:lang w:val="en-US"/>
        </w:rPr>
        <w:t>10月</w:t>
      </w:r>
    </w:p>
    <w:sdt>
      <w:sdtPr>
        <w:rPr>
          <w:rFonts w:ascii="宋体" w:hAnsi="宋体" w:eastAsia="宋体" w:cs="Times New Roman"/>
          <w:b/>
          <w:bCs/>
          <w:color w:val="auto"/>
          <w:kern w:val="2"/>
          <w:sz w:val="28"/>
          <w:szCs w:val="36"/>
          <w:highlight w:val="none"/>
          <w:lang w:val="en-US" w:eastAsia="zh-CN" w:bidi="ar-SA"/>
        </w:rPr>
        <w:id w:val="147464843"/>
        <w15:color w:val="DBDBDB"/>
        <w:docPartObj>
          <w:docPartGallery w:val="Table of Contents"/>
          <w:docPartUnique/>
        </w:docPartObj>
      </w:sdtPr>
      <w:sdtEndPr>
        <w:rPr>
          <w:rFonts w:ascii="宋体" w:hAnsi="宋体" w:eastAsia="宋体" w:cs="Times New Roman"/>
          <w:b/>
          <w:bCs/>
          <w:color w:val="auto"/>
          <w:kern w:val="2"/>
          <w:sz w:val="21"/>
          <w:szCs w:val="24"/>
          <w:highlight w:val="none"/>
          <w:lang w:val="en-US" w:eastAsia="zh-CN" w:bidi="ar-SA"/>
        </w:rPr>
      </w:sdtEndPr>
      <w:sdtContent>
        <w:p w14:paraId="13E8F37C">
          <w:pPr>
            <w:spacing w:before="0" w:beforeLines="0" w:after="0" w:afterLines="0" w:line="240" w:lineRule="auto"/>
            <w:ind w:left="0" w:leftChars="0" w:right="0" w:rightChars="0" w:firstLine="0" w:firstLineChars="0"/>
            <w:jc w:val="center"/>
            <w:rPr>
              <w:b/>
              <w:bCs/>
              <w:color w:val="auto"/>
              <w:sz w:val="36"/>
              <w:szCs w:val="36"/>
              <w:highlight w:val="none"/>
            </w:rPr>
          </w:pPr>
          <w:r>
            <w:rPr>
              <w:rFonts w:ascii="宋体" w:hAnsi="宋体" w:eastAsia="宋体"/>
              <w:b/>
              <w:bCs/>
              <w:color w:val="auto"/>
              <w:sz w:val="28"/>
              <w:szCs w:val="36"/>
              <w:highlight w:val="none"/>
            </w:rPr>
            <w:t>目录</w:t>
          </w:r>
        </w:p>
        <w:p w14:paraId="17CCFEB4">
          <w:pPr>
            <w:pStyle w:val="17"/>
            <w:tabs>
              <w:tab w:val="right" w:leader="dot" w:pos="8306"/>
            </w:tabs>
            <w:ind w:firstLine="480" w:firstLineChars="200"/>
            <w:rPr>
              <w:rFonts w:hint="eastAsia" w:ascii="仿宋" w:hAnsi="仿宋" w:eastAsia="仿宋" w:cs="仿宋"/>
              <w:color w:val="auto"/>
              <w:highlight w:val="none"/>
            </w:rPr>
          </w:pPr>
          <w:r>
            <w:rPr>
              <w:color w:val="auto"/>
              <w:highlight w:val="none"/>
            </w:rPr>
            <w:fldChar w:fldCharType="begin"/>
          </w:r>
          <w:r>
            <w:rPr>
              <w:color w:val="auto"/>
              <w:highlight w:val="none"/>
            </w:rPr>
            <w:instrText xml:space="preserve">TOC \o "1-3" \h \u </w:instrText>
          </w:r>
          <w:r>
            <w:rPr>
              <w:color w:val="auto"/>
              <w:highlight w:val="none"/>
            </w:rPr>
            <w:fldChar w:fldCharType="separate"/>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_Toc30580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第一章 征集公告</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_Toc30580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1D4795A5">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_Toc29476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1.采购条件</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_Toc29476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3B086C61">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_Toc16550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2.项目概况与采购范围</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_Toc16550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034646AF">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_Toc8794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3.供应商资格要求</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_Toc8794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DF59E55">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_Toc15042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4.征集文件的获取</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_Toc15042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53D3481">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_Toc9326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5.响应文件的递交</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_Toc9326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04B762A">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_Toc90001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6.</w:t>
          </w:r>
          <w:r>
            <w:rPr>
              <w:rFonts w:hint="eastAsia" w:ascii="仿宋" w:hAnsi="仿宋" w:eastAsia="仿宋" w:cs="仿宋"/>
              <w:color w:val="auto"/>
              <w:highlight w:val="none"/>
              <w:lang w:eastAsia="zh-CN"/>
            </w:rPr>
            <w:t>响应保证金</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_Toc90001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3ECD29E">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_Toc19569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7.响应文件的开启</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_Toc19569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FD35DC3">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_Toc27719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8.合同签订及付款条件</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_Toc27719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01C37C86">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_Toc12369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9.发布公告的媒介</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_Toc12369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5</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D758483">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_Toc30718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10.联系方式</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_Toc30718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5</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FD2EFA0">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_Toc10828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第二章  供应商须知</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_Toc10828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7</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159BAC41">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_Toc26965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1.采购项目概况</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_Toc26965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7</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26A47529">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_Toc5259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2.采购范围、交货期、交货地点和质量标准</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_Toc5259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7</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7345DB24">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_Toc23397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3.供应商资格要求</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_Toc23397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16</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7153292">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_Toc26901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4.供应商不得存在的情形</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_Toc26901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17</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057F6562">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_Toc90002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5.</w:t>
          </w:r>
          <w:r>
            <w:rPr>
              <w:rFonts w:hint="eastAsia" w:ascii="仿宋" w:hAnsi="仿宋" w:eastAsia="仿宋" w:cs="仿宋"/>
              <w:color w:val="auto"/>
              <w:highlight w:val="none"/>
              <w:lang w:eastAsia="zh-CN"/>
            </w:rPr>
            <w:t>响应保证金</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_Toc90002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17</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0D2FE0EA">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_Toc9786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6.合同价款</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_Toc9786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18</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1D6723BE">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_Toc21855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7.框架协议签订与正式合同签约</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_Toc21855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20</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3982889F">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_Toc2216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8.供应商考核</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_Toc2216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20</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248F89D7">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_Toc3921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9.供应商履约能力要求</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_Toc3921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21</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4928266">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_Toc3921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10.其他需说明的事项</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_Toc3921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21</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DCFE570">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_Toc12727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第三章评审办法</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_Toc12727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24</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33353667">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_Toc8083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1.评审办法</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_Toc8083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24</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F1D9B7F">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_Toc11842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2.初步评审</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_Toc11842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24</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A802209">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_Toc13086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3.价格评审</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_Toc13086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25</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06B351AD">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_Toc9411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4.评审结果</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_Toc9411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25</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103FABFF">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_Toc22108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5.框架协议签订与正式合同签约</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_Toc22108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25</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3EBF2878">
          <w:pPr>
            <w:pStyle w:val="17"/>
            <w:tabs>
              <w:tab w:val="right" w:leader="dot" w:pos="8306"/>
            </w:tabs>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_Toc22633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第四章响应文件格式</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_Toc22633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26</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23A618C3">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_Toc20072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报  价  函</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_Toc20072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27</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11F866FF">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_Toc30181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资格审查资料</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_Toc30181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28</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76BDFA13">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_Toc10540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（一）公司基本情况一览表</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_Toc10540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28</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1C16BC8A">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_Toc32658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（二）企业业绩情况</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_Toc32658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29</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1C0E52D">
          <w:pPr>
            <w:pStyle w:val="18"/>
            <w:tabs>
              <w:tab w:val="right" w:leader="dot" w:pos="8306"/>
            </w:tabs>
            <w:rPr>
              <w:rFonts w:hint="eastAsia" w:ascii="仿宋" w:hAnsi="仿宋" w:eastAsia="仿宋" w:cs="仿宋"/>
              <w:color w:val="auto"/>
              <w:highlight w:val="none"/>
            </w:rPr>
          </w:pP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三）</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_Toc7138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授权委托书</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_Toc7138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31</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5F132F5">
          <w:pPr>
            <w:pStyle w:val="18"/>
            <w:tabs>
              <w:tab w:val="right" w:leader="dot" w:pos="8306"/>
            </w:tabs>
            <w:rPr>
              <w:color w:val="auto"/>
              <w:highlight w:val="none"/>
            </w:rPr>
          </w:pP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四）</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_Toc15307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信誉承诺表</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_Toc15307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781FD743">
          <w:pPr>
            <w:rPr>
              <w:color w:val="auto"/>
              <w:highlight w:val="none"/>
            </w:rPr>
          </w:pPr>
          <w:r>
            <w:rPr>
              <w:color w:val="auto"/>
              <w:highlight w:val="none"/>
            </w:rPr>
            <w:fldChar w:fldCharType="end"/>
          </w:r>
        </w:p>
      </w:sdtContent>
    </w:sdt>
    <w:p w14:paraId="00AD2795">
      <w:pPr>
        <w:rPr>
          <w:color w:val="auto"/>
          <w:highlight w:val="none"/>
        </w:rPr>
      </w:pPr>
    </w:p>
    <w:p w14:paraId="43C38B17">
      <w:pPr>
        <w:pStyle w:val="11"/>
        <w:numPr>
          <w:ilvl w:val="0"/>
          <w:numId w:val="0"/>
        </w:numPr>
        <w:ind w:left="720" w:leftChars="0"/>
        <w:rPr>
          <w:rFonts w:hint="eastAsia" w:ascii="仿宋" w:hAnsi="仿宋" w:eastAsia="仿宋" w:cs="仿宋"/>
          <w:b/>
          <w:color w:val="auto"/>
          <w:kern w:val="0"/>
          <w:highlight w:val="none"/>
          <w:lang w:val="en-US" w:eastAsia="zh-CN"/>
        </w:rPr>
      </w:pPr>
    </w:p>
    <w:p w14:paraId="68D23DA8">
      <w:pPr>
        <w:ind w:left="720"/>
        <w:rPr>
          <w:rFonts w:hint="eastAsia"/>
          <w:color w:val="auto"/>
          <w:highlight w:val="none"/>
          <w:lang w:eastAsia="zh-CN"/>
        </w:rPr>
      </w:pPr>
      <w:r>
        <w:rPr>
          <w:rFonts w:hint="eastAsia" w:ascii="仿宋" w:hAnsi="仿宋" w:eastAsia="仿宋" w:cs="仿宋"/>
          <w:b/>
          <w:color w:val="auto"/>
          <w:spacing w:val="1440"/>
          <w:kern w:val="0"/>
          <w:highlight w:val="none"/>
          <w:fitText w:val="1680" w:id="1332357556"/>
          <w:lang w:val="en-US" w:eastAsia="zh-CN"/>
        </w:rPr>
        <w:br w:type="page"/>
      </w:r>
    </w:p>
    <w:p w14:paraId="1250A4D2">
      <w:pPr>
        <w:pStyle w:val="2"/>
        <w:numPr>
          <w:ilvl w:val="0"/>
          <w:numId w:val="0"/>
        </w:numPr>
        <w:jc w:val="center"/>
        <w:rPr>
          <w:rFonts w:hint="eastAsia" w:ascii="仿宋" w:hAnsi="仿宋" w:eastAsia="仿宋" w:cs="仿宋"/>
          <w:color w:val="auto"/>
          <w:highlight w:val="none"/>
        </w:rPr>
      </w:pPr>
      <w:bookmarkStart w:id="0" w:name="_Toc30580"/>
      <w:r>
        <w:rPr>
          <w:rFonts w:hint="eastAsia" w:ascii="仿宋" w:hAnsi="仿宋" w:eastAsia="仿宋" w:cs="仿宋"/>
          <w:color w:val="auto"/>
          <w:highlight w:val="none"/>
        </w:rPr>
        <w:t>第一章</w:t>
      </w:r>
      <w:r>
        <w:rPr>
          <w:rFonts w:hint="eastAsia" w:ascii="仿宋" w:hAnsi="仿宋" w:eastAsia="仿宋" w:cs="仿宋"/>
          <w:color w:val="auto"/>
          <w:highlight w:val="none"/>
          <w:lang w:val="en-US" w:eastAsia="zh-CN"/>
        </w:rPr>
        <w:t xml:space="preserve"> 征集</w:t>
      </w:r>
      <w:r>
        <w:rPr>
          <w:rFonts w:hint="eastAsia" w:ascii="仿宋" w:hAnsi="仿宋" w:eastAsia="仿宋" w:cs="仿宋"/>
          <w:color w:val="auto"/>
          <w:highlight w:val="none"/>
        </w:rPr>
        <w:t>公告</w:t>
      </w:r>
      <w:bookmarkEnd w:id="0"/>
    </w:p>
    <w:p w14:paraId="471648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30"/>
          <w:szCs w:val="30"/>
          <w:highlight w:val="none"/>
          <w:lang w:val="en-US" w:eastAsia="zh-CN"/>
        </w:rPr>
      </w:pPr>
      <w:r>
        <w:rPr>
          <w:rFonts w:hint="eastAsia" w:ascii="仿宋" w:hAnsi="仿宋" w:eastAsia="仿宋" w:cs="仿宋"/>
          <w:b/>
          <w:bCs/>
          <w:color w:val="auto"/>
          <w:sz w:val="30"/>
          <w:szCs w:val="30"/>
          <w:highlight w:val="none"/>
          <w:lang w:val="en-US" w:eastAsia="zh-CN"/>
        </w:rPr>
        <w:t>赣州旅投景区管理集团有限公司食堂2026-2027年度食材供应－框架协议供应商入围征集项目征集公告</w:t>
      </w:r>
    </w:p>
    <w:p w14:paraId="06EFEF1A">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1" w:name="_Toc29476"/>
      <w:r>
        <w:rPr>
          <w:rFonts w:hint="eastAsia" w:ascii="仿宋" w:hAnsi="仿宋" w:eastAsia="仿宋" w:cs="仿宋"/>
          <w:b/>
          <w:color w:val="auto"/>
          <w:kern w:val="0"/>
          <w:sz w:val="24"/>
          <w:szCs w:val="24"/>
          <w:highlight w:val="none"/>
          <w:lang w:val="en-US" w:eastAsia="zh-CN" w:bidi="ar-SA"/>
        </w:rPr>
        <w:t>1.采购条件</w:t>
      </w:r>
      <w:bookmarkEnd w:id="1"/>
    </w:p>
    <w:p w14:paraId="07CF5638">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left="0" w:leftChars="0" w:firstLine="480" w:firstLineChars="200"/>
        <w:jc w:val="left"/>
        <w:textAlignment w:val="auto"/>
        <w:rPr>
          <w:rStyle w:val="62"/>
          <w:rFonts w:hint="eastAsia" w:ascii="仿宋" w:hAnsi="仿宋" w:eastAsia="仿宋" w:cs="仿宋"/>
          <w:color w:val="auto"/>
          <w:sz w:val="24"/>
          <w:szCs w:val="24"/>
          <w:highlight w:val="none"/>
          <w:lang w:val="en-US"/>
        </w:rPr>
      </w:pPr>
      <w:r>
        <w:rPr>
          <w:rStyle w:val="62"/>
          <w:rFonts w:hint="eastAsia" w:ascii="仿宋" w:hAnsi="仿宋" w:eastAsia="仿宋" w:cs="仿宋"/>
          <w:color w:val="auto"/>
          <w:sz w:val="24"/>
          <w:szCs w:val="24"/>
          <w:highlight w:val="none"/>
          <w:lang w:val="en-US"/>
        </w:rPr>
        <w:t>本次采购项目【</w:t>
      </w:r>
      <w:r>
        <w:rPr>
          <w:rStyle w:val="62"/>
          <w:rFonts w:hint="eastAsia" w:ascii="仿宋" w:hAnsi="仿宋" w:eastAsia="仿宋" w:cs="仿宋"/>
          <w:color w:val="auto"/>
          <w:sz w:val="24"/>
          <w:szCs w:val="24"/>
          <w:highlight w:val="none"/>
          <w:u w:val="single"/>
          <w:lang w:val="en-US"/>
        </w:rPr>
        <w:t>赣州旅投景区管理集团有限公司食堂2026-2027年度食材供应－框架协议供应商入围征集项目】</w:t>
      </w:r>
      <w:r>
        <w:rPr>
          <w:rStyle w:val="62"/>
          <w:rFonts w:hint="eastAsia" w:ascii="仿宋" w:hAnsi="仿宋" w:eastAsia="仿宋" w:cs="仿宋"/>
          <w:color w:val="auto"/>
          <w:sz w:val="24"/>
          <w:szCs w:val="24"/>
          <w:highlight w:val="none"/>
          <w:lang w:val="en-US"/>
        </w:rPr>
        <w:t>，采购人为</w:t>
      </w:r>
      <w:r>
        <w:rPr>
          <w:rStyle w:val="62"/>
          <w:rFonts w:hint="eastAsia" w:ascii="仿宋" w:hAnsi="仿宋" w:eastAsia="仿宋" w:cs="仿宋"/>
          <w:color w:val="auto"/>
          <w:sz w:val="24"/>
          <w:szCs w:val="24"/>
          <w:highlight w:val="none"/>
          <w:u w:val="single"/>
          <w:lang w:val="en-US"/>
        </w:rPr>
        <w:t>赣州旅投景区管理集团有限公司</w:t>
      </w:r>
      <w:r>
        <w:rPr>
          <w:rStyle w:val="62"/>
          <w:rFonts w:hint="eastAsia" w:ascii="仿宋" w:hAnsi="仿宋" w:eastAsia="仿宋" w:cs="仿宋"/>
          <w:color w:val="auto"/>
          <w:sz w:val="24"/>
          <w:szCs w:val="24"/>
          <w:highlight w:val="none"/>
          <w:lang w:val="en-US"/>
        </w:rPr>
        <w:t>，合同签订单位为</w:t>
      </w:r>
      <w:r>
        <w:rPr>
          <w:rStyle w:val="62"/>
          <w:rFonts w:hint="eastAsia" w:ascii="仿宋" w:hAnsi="仿宋" w:eastAsia="仿宋" w:cs="仿宋"/>
          <w:color w:val="auto"/>
          <w:sz w:val="24"/>
          <w:szCs w:val="24"/>
          <w:highlight w:val="none"/>
          <w:u w:val="single"/>
          <w:lang w:val="en-US"/>
        </w:rPr>
        <w:t>赣州旅投景区管理集团有限公司</w:t>
      </w:r>
      <w:r>
        <w:rPr>
          <w:rStyle w:val="62"/>
          <w:rFonts w:hint="eastAsia" w:ascii="仿宋" w:hAnsi="仿宋" w:eastAsia="仿宋" w:cs="仿宋"/>
          <w:color w:val="auto"/>
          <w:sz w:val="24"/>
          <w:szCs w:val="24"/>
          <w:highlight w:val="none"/>
          <w:lang w:val="en-US"/>
        </w:rPr>
        <w:t>，项目资金来源为</w:t>
      </w:r>
      <w:r>
        <w:rPr>
          <w:rStyle w:val="62"/>
          <w:rFonts w:hint="eastAsia" w:ascii="仿宋" w:hAnsi="仿宋" w:eastAsia="仿宋" w:cs="仿宋"/>
          <w:color w:val="auto"/>
          <w:sz w:val="24"/>
          <w:szCs w:val="24"/>
          <w:highlight w:val="none"/>
          <w:u w:val="single"/>
          <w:lang w:val="en-US"/>
        </w:rPr>
        <w:t>企业自筹</w:t>
      </w:r>
      <w:r>
        <w:rPr>
          <w:rStyle w:val="62"/>
          <w:rFonts w:hint="eastAsia" w:ascii="仿宋" w:hAnsi="仿宋" w:eastAsia="仿宋" w:cs="仿宋"/>
          <w:color w:val="auto"/>
          <w:sz w:val="24"/>
          <w:szCs w:val="24"/>
          <w:highlight w:val="none"/>
          <w:u w:val="none"/>
          <w:lang w:val="en-US"/>
        </w:rPr>
        <w:t>，出资比例为</w:t>
      </w:r>
      <w:r>
        <w:rPr>
          <w:rStyle w:val="62"/>
          <w:rFonts w:hint="eastAsia" w:ascii="仿宋" w:hAnsi="仿宋" w:eastAsia="仿宋" w:cs="仿宋"/>
          <w:color w:val="auto"/>
          <w:sz w:val="24"/>
          <w:szCs w:val="24"/>
          <w:highlight w:val="none"/>
          <w:u w:val="single"/>
          <w:lang w:val="en-US"/>
        </w:rPr>
        <w:t>100%</w:t>
      </w:r>
      <w:r>
        <w:rPr>
          <w:rStyle w:val="62"/>
          <w:rFonts w:hint="eastAsia" w:ascii="仿宋" w:hAnsi="仿宋" w:eastAsia="仿宋" w:cs="仿宋"/>
          <w:color w:val="auto"/>
          <w:sz w:val="24"/>
          <w:szCs w:val="24"/>
          <w:highlight w:val="none"/>
          <w:u w:val="none"/>
          <w:lang w:val="en-US"/>
        </w:rPr>
        <w:t>。</w:t>
      </w:r>
      <w:r>
        <w:rPr>
          <w:rStyle w:val="62"/>
          <w:rFonts w:hint="eastAsia" w:ascii="仿宋" w:hAnsi="仿宋" w:eastAsia="仿宋" w:cs="仿宋"/>
          <w:color w:val="auto"/>
          <w:sz w:val="24"/>
          <w:szCs w:val="24"/>
          <w:highlight w:val="none"/>
          <w:lang w:val="en-US"/>
        </w:rPr>
        <w:t>项目已具备采购条件，现对该项目进行公开征集入围</w:t>
      </w:r>
      <w:r>
        <w:rPr>
          <w:rStyle w:val="62"/>
          <w:rFonts w:hint="eastAsia" w:ascii="仿宋" w:hAnsi="仿宋" w:eastAsia="仿宋" w:cs="仿宋"/>
          <w:color w:val="auto"/>
          <w:sz w:val="24"/>
          <w:szCs w:val="24"/>
          <w:highlight w:val="none"/>
          <w:lang w:val="en-US" w:eastAsia="zh-CN"/>
        </w:rPr>
        <w:t>框架协议供应商</w:t>
      </w:r>
      <w:r>
        <w:rPr>
          <w:rStyle w:val="62"/>
          <w:rFonts w:hint="eastAsia" w:ascii="仿宋" w:hAnsi="仿宋" w:eastAsia="仿宋" w:cs="仿宋"/>
          <w:color w:val="auto"/>
          <w:sz w:val="24"/>
          <w:szCs w:val="24"/>
          <w:highlight w:val="none"/>
          <w:lang w:val="en-US"/>
        </w:rPr>
        <w:t>。</w:t>
      </w:r>
    </w:p>
    <w:p w14:paraId="42CB49D7">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2" w:name="_Toc16550"/>
      <w:r>
        <w:rPr>
          <w:rFonts w:hint="eastAsia" w:ascii="仿宋" w:hAnsi="仿宋" w:eastAsia="仿宋" w:cs="仿宋"/>
          <w:b/>
          <w:color w:val="auto"/>
          <w:kern w:val="0"/>
          <w:sz w:val="24"/>
          <w:szCs w:val="24"/>
          <w:highlight w:val="none"/>
          <w:lang w:val="en-US" w:eastAsia="zh-CN" w:bidi="ar-SA"/>
        </w:rPr>
        <w:t>2.项目概况与采购范围</w:t>
      </w:r>
      <w:bookmarkEnd w:id="2"/>
    </w:p>
    <w:p w14:paraId="476BDC9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lang w:eastAsia="zh-CN"/>
        </w:rPr>
        <w:t>赣州旅投景区管理集团有限公司食堂2026-2027年度食材供应－框架协议供应商入围征集项目</w:t>
      </w:r>
    </w:p>
    <w:p w14:paraId="28BE85D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服务期</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服务期1年，按合同签订之日起12个日历月计算。</w:t>
      </w:r>
    </w:p>
    <w:p w14:paraId="38A19A5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项目需求：</w:t>
      </w:r>
    </w:p>
    <w:tbl>
      <w:tblPr>
        <w:tblStyle w:val="23"/>
        <w:tblW w:w="8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6"/>
        <w:gridCol w:w="675"/>
        <w:gridCol w:w="587"/>
        <w:gridCol w:w="1663"/>
        <w:gridCol w:w="1187"/>
        <w:gridCol w:w="1679"/>
      </w:tblGrid>
      <w:tr w14:paraId="6481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83" w:hRule="atLeast"/>
          <w:jc w:val="center"/>
        </w:trPr>
        <w:tc>
          <w:tcPr>
            <w:tcW w:w="2856" w:type="dxa"/>
            <w:vAlign w:val="center"/>
          </w:tcPr>
          <w:p w14:paraId="2DC06830">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项目名称</w:t>
            </w:r>
          </w:p>
        </w:tc>
        <w:tc>
          <w:tcPr>
            <w:tcW w:w="675" w:type="dxa"/>
            <w:vAlign w:val="center"/>
          </w:tcPr>
          <w:p w14:paraId="4718B81F">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587" w:type="dxa"/>
            <w:vAlign w:val="center"/>
          </w:tcPr>
          <w:p w14:paraId="52010F48">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w:t>
            </w:r>
          </w:p>
        </w:tc>
        <w:tc>
          <w:tcPr>
            <w:tcW w:w="1663" w:type="dxa"/>
            <w:vAlign w:val="center"/>
          </w:tcPr>
          <w:p w14:paraId="35554965">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主要技术规格及要求</w:t>
            </w:r>
          </w:p>
        </w:tc>
        <w:tc>
          <w:tcPr>
            <w:tcW w:w="1187" w:type="dxa"/>
            <w:vAlign w:val="center"/>
          </w:tcPr>
          <w:p w14:paraId="7C519E9A">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交货地点</w:t>
            </w:r>
          </w:p>
        </w:tc>
        <w:tc>
          <w:tcPr>
            <w:tcW w:w="1679" w:type="dxa"/>
            <w:vAlign w:val="center"/>
          </w:tcPr>
          <w:p w14:paraId="7601398A">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w:t>
            </w:r>
          </w:p>
          <w:p w14:paraId="5C09B284">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金额</w:t>
            </w:r>
          </w:p>
        </w:tc>
      </w:tr>
      <w:tr w14:paraId="4562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2856" w:type="dxa"/>
            <w:vAlign w:val="center"/>
          </w:tcPr>
          <w:p w14:paraId="1A742EFD">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赣州旅投景区管理集团有限公司框架协议供应商</w:t>
            </w:r>
          </w:p>
          <w:p w14:paraId="13541059">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入围征集项目</w:t>
            </w:r>
          </w:p>
        </w:tc>
        <w:tc>
          <w:tcPr>
            <w:tcW w:w="675" w:type="dxa"/>
            <w:vAlign w:val="center"/>
          </w:tcPr>
          <w:p w14:paraId="1B662489">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587" w:type="dxa"/>
            <w:vAlign w:val="center"/>
          </w:tcPr>
          <w:p w14:paraId="5E333684">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w:t>
            </w:r>
          </w:p>
        </w:tc>
        <w:tc>
          <w:tcPr>
            <w:tcW w:w="1663" w:type="dxa"/>
            <w:vAlign w:val="center"/>
          </w:tcPr>
          <w:p w14:paraId="4B6F89C8">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（具体内容详见</w:t>
            </w:r>
            <w:r>
              <w:rPr>
                <w:rFonts w:hint="eastAsia" w:ascii="仿宋" w:hAnsi="仿宋" w:eastAsia="仿宋" w:cs="仿宋"/>
                <w:color w:val="auto"/>
                <w:sz w:val="24"/>
                <w:szCs w:val="24"/>
                <w:highlight w:val="none"/>
                <w:lang w:val="en-US" w:eastAsia="zh-CN"/>
              </w:rPr>
              <w:t>征集</w:t>
            </w:r>
            <w:r>
              <w:rPr>
                <w:rFonts w:hint="eastAsia" w:ascii="仿宋" w:hAnsi="仿宋" w:eastAsia="仿宋" w:cs="仿宋"/>
                <w:color w:val="auto"/>
                <w:sz w:val="24"/>
                <w:szCs w:val="24"/>
                <w:highlight w:val="none"/>
              </w:rPr>
              <w:t>文件）</w:t>
            </w:r>
          </w:p>
        </w:tc>
        <w:tc>
          <w:tcPr>
            <w:tcW w:w="1187" w:type="dxa"/>
            <w:vAlign w:val="center"/>
          </w:tcPr>
          <w:p w14:paraId="652ECA7B">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江南宋城景区（公司食堂）</w:t>
            </w:r>
          </w:p>
        </w:tc>
        <w:tc>
          <w:tcPr>
            <w:tcW w:w="1679" w:type="dxa"/>
            <w:vAlign w:val="center"/>
          </w:tcPr>
          <w:p w14:paraId="5A938210">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约72.56万元</w:t>
            </w:r>
          </w:p>
        </w:tc>
      </w:tr>
      <w:tr w14:paraId="4BCEC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8647" w:type="dxa"/>
            <w:gridSpan w:val="6"/>
            <w:vAlign w:val="center"/>
          </w:tcPr>
          <w:p w14:paraId="4CE66FA2">
            <w:pPr>
              <w:keepNext w:val="0"/>
              <w:keepLines w:val="0"/>
              <w:pageBreakBefore w:val="0"/>
              <w:widowControl w:val="0"/>
              <w:kinsoku/>
              <w:wordWrap/>
              <w:overflowPunct/>
              <w:topLinePunct w:val="0"/>
              <w:autoSpaceDE/>
              <w:autoSpaceDN/>
              <w:bidi w:val="0"/>
              <w:spacing w:line="500" w:lineRule="exact"/>
              <w:ind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注：本项目只允许国内</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参与。</w:t>
            </w:r>
          </w:p>
        </w:tc>
      </w:tr>
    </w:tbl>
    <w:p w14:paraId="4099E1BE">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3" w:name="_Toc8794"/>
      <w:r>
        <w:rPr>
          <w:rFonts w:hint="eastAsia" w:ascii="仿宋" w:hAnsi="仿宋" w:eastAsia="仿宋" w:cs="仿宋"/>
          <w:b/>
          <w:color w:val="auto"/>
          <w:kern w:val="0"/>
          <w:sz w:val="24"/>
          <w:szCs w:val="24"/>
          <w:highlight w:val="none"/>
          <w:lang w:val="en-US" w:eastAsia="zh-CN" w:bidi="ar-SA"/>
        </w:rPr>
        <w:t>3.供应商资格要求</w:t>
      </w:r>
      <w:bookmarkEnd w:id="3"/>
    </w:p>
    <w:p w14:paraId="4424C395">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本项目资格要求</w:t>
      </w:r>
    </w:p>
    <w:p w14:paraId="0181EFF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（1）具有独立承担民事责任的能力，持有有效的营业执照；具有《食品经营许可证》，经营项目包含本次采购的全部食材品类。</w:t>
      </w:r>
    </w:p>
    <w:p w14:paraId="2ED5B59E">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（2）具有良好的商业信誉和健全的财务会计制度；</w:t>
      </w:r>
    </w:p>
    <w:p w14:paraId="3CD845DD">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（3）具有履行合同所必需的设备和专业技术能力；</w:t>
      </w:r>
    </w:p>
    <w:p w14:paraId="4212D316">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（4）有依法缴纳税收的良好记录；</w:t>
      </w:r>
    </w:p>
    <w:p w14:paraId="15352329">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b/>
          <w:color w:val="auto"/>
          <w:sz w:val="24"/>
          <w:szCs w:val="24"/>
          <w:highlight w:val="none"/>
          <w:lang w:val="en-US" w:eastAsia="zh-CN"/>
        </w:rPr>
        <w:t>参</w:t>
      </w:r>
      <w:r>
        <w:rPr>
          <w:rFonts w:hint="eastAsia" w:ascii="仿宋" w:hAnsi="仿宋" w:eastAsia="仿宋" w:cs="仿宋"/>
          <w:b w:val="0"/>
          <w:bCs/>
          <w:color w:val="auto"/>
          <w:sz w:val="24"/>
          <w:szCs w:val="24"/>
          <w:highlight w:val="none"/>
          <w:lang w:val="en-US" w:eastAsia="zh-CN"/>
        </w:rPr>
        <w:t>加本项目采购活动前三年内，在经营活动中没有重大违法记录，需提供“信用中国”及国家企业信用信息公示系统无违规记录截图佐证。</w:t>
      </w:r>
    </w:p>
    <w:p w14:paraId="78B1971B">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（6）业绩要求：供应商近5年内（签订时间为2021年10月1日至响应文件递交截止时间前）独立承接过45万元以上行政事业单位或国企食堂供应项目，至少提供1个合同及发票扫描件。</w:t>
      </w:r>
    </w:p>
    <w:p w14:paraId="049ACA32">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其他要求</w:t>
      </w:r>
    </w:p>
    <w:p w14:paraId="76E1D44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（1）单位负责人为同一人或者存在直接控股、管理关系的不同供应商，不得参加同一合同项下的采购活动。</w:t>
      </w:r>
    </w:p>
    <w:p w14:paraId="77205491">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eastAsia="zh-CN"/>
        </w:rPr>
        <w:t>（2）供应商被“信用中国”网站列入失信被执行人和重大税收违法案件当事人名单的、被“中国政府采购网”网站列入政府采购严重违法失信行为记录名单（处罚期限尚未届满的），不得参与本项目的采购活动。</w:t>
      </w:r>
    </w:p>
    <w:p w14:paraId="08BCBFDC">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（3）供应商的分支机构不得参加本次采购，特殊行业（仅限于银行、保险、石油石化、电力、电信行业）供应商允许其分支机构参加本次采购。</w:t>
      </w:r>
    </w:p>
    <w:p w14:paraId="347B2F66">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4" w:name="_Toc15042"/>
      <w:r>
        <w:rPr>
          <w:rFonts w:hint="eastAsia" w:ascii="仿宋" w:hAnsi="仿宋" w:eastAsia="仿宋" w:cs="仿宋"/>
          <w:b/>
          <w:color w:val="auto"/>
          <w:kern w:val="0"/>
          <w:sz w:val="24"/>
          <w:szCs w:val="24"/>
          <w:highlight w:val="none"/>
          <w:lang w:val="en-US" w:eastAsia="zh-CN" w:bidi="ar-SA"/>
        </w:rPr>
        <w:t>4.征集文件的获取</w:t>
      </w:r>
      <w:bookmarkEnd w:id="4"/>
    </w:p>
    <w:p w14:paraId="46E8E26D">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公告页自行下载附件</w:t>
      </w:r>
      <w:r>
        <w:rPr>
          <w:rFonts w:hint="eastAsia" w:ascii="仿宋" w:hAnsi="仿宋" w:eastAsia="仿宋" w:cs="仿宋"/>
          <w:color w:val="auto"/>
          <w:sz w:val="24"/>
          <w:szCs w:val="24"/>
          <w:highlight w:val="none"/>
        </w:rPr>
        <w:t>。</w:t>
      </w:r>
    </w:p>
    <w:p w14:paraId="4A2BFE1F">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5" w:name="_Toc9326"/>
      <w:r>
        <w:rPr>
          <w:rFonts w:hint="eastAsia" w:ascii="仿宋" w:hAnsi="仿宋" w:eastAsia="仿宋" w:cs="仿宋"/>
          <w:b/>
          <w:color w:val="auto"/>
          <w:kern w:val="0"/>
          <w:sz w:val="24"/>
          <w:szCs w:val="24"/>
          <w:highlight w:val="none"/>
          <w:lang w:val="en-US" w:eastAsia="zh-CN" w:bidi="ar-SA"/>
        </w:rPr>
        <w:t>5.响应文件的递交</w:t>
      </w:r>
      <w:bookmarkEnd w:id="5"/>
    </w:p>
    <w:p w14:paraId="253595B4">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color w:val="auto"/>
          <w:sz w:val="24"/>
          <w:szCs w:val="24"/>
          <w:highlight w:val="none"/>
          <w:lang w:val="en-US" w:eastAsia="zh-Hans"/>
        </w:rPr>
      </w:pPr>
      <w:r>
        <w:rPr>
          <w:rStyle w:val="62"/>
          <w:rFonts w:hint="eastAsia" w:ascii="仿宋" w:hAnsi="仿宋" w:eastAsia="仿宋" w:cs="仿宋"/>
          <w:color w:val="auto"/>
          <w:sz w:val="24"/>
          <w:szCs w:val="24"/>
          <w:highlight w:val="none"/>
          <w:lang w:val="en-US"/>
        </w:rPr>
        <w:t>供应商应根据</w:t>
      </w:r>
      <w:r>
        <w:rPr>
          <w:rStyle w:val="62"/>
          <w:rFonts w:hint="eastAsia" w:ascii="仿宋" w:hAnsi="仿宋" w:eastAsia="仿宋" w:cs="仿宋"/>
          <w:color w:val="auto"/>
          <w:sz w:val="24"/>
          <w:szCs w:val="24"/>
          <w:highlight w:val="none"/>
          <w:lang w:val="en-US" w:eastAsia="zh-CN"/>
        </w:rPr>
        <w:t>征集</w:t>
      </w:r>
      <w:r>
        <w:rPr>
          <w:rStyle w:val="62"/>
          <w:rFonts w:hint="eastAsia" w:ascii="仿宋" w:hAnsi="仿宋" w:eastAsia="仿宋" w:cs="仿宋"/>
          <w:color w:val="auto"/>
          <w:sz w:val="24"/>
          <w:szCs w:val="24"/>
          <w:highlight w:val="none"/>
          <w:lang w:val="en-US"/>
        </w:rPr>
        <w:t>文件的要求编制响</w:t>
      </w:r>
      <w:r>
        <w:rPr>
          <w:rStyle w:val="62"/>
          <w:rFonts w:hint="eastAsia" w:ascii="仿宋" w:hAnsi="仿宋" w:eastAsia="仿宋" w:cs="仿宋"/>
          <w:b w:val="0"/>
          <w:bCs w:val="0"/>
          <w:color w:val="auto"/>
          <w:sz w:val="24"/>
          <w:szCs w:val="24"/>
          <w:highlight w:val="none"/>
          <w:lang w:val="en-US"/>
        </w:rPr>
        <w:t>应文件，</w:t>
      </w:r>
      <w:r>
        <w:rPr>
          <w:rStyle w:val="62"/>
          <w:rFonts w:hint="eastAsia" w:ascii="仿宋" w:hAnsi="仿宋" w:eastAsia="仿宋" w:cs="仿宋"/>
          <w:b w:val="0"/>
          <w:bCs w:val="0"/>
          <w:color w:val="auto"/>
          <w:sz w:val="24"/>
          <w:szCs w:val="24"/>
          <w:highlight w:val="none"/>
          <w:lang w:val="en-US" w:eastAsia="zh-CN"/>
        </w:rPr>
        <w:t>在响应文件递交截止时间前，将响应文件递交至江西省赣州市章贡区江南</w:t>
      </w:r>
      <w:r>
        <w:rPr>
          <w:rStyle w:val="62"/>
          <w:rFonts w:hint="eastAsia" w:ascii="仿宋" w:hAnsi="仿宋" w:eastAsia="仿宋" w:cs="仿宋"/>
          <w:color w:val="auto"/>
          <w:sz w:val="24"/>
          <w:szCs w:val="24"/>
          <w:highlight w:val="none"/>
          <w:lang w:val="en-US" w:eastAsia="zh-CN"/>
        </w:rPr>
        <w:t>宋城历史文化旅游区百家岭8号1楼会议室</w:t>
      </w:r>
      <w:r>
        <w:rPr>
          <w:rStyle w:val="62"/>
          <w:rFonts w:hint="eastAsia" w:ascii="仿宋" w:hAnsi="仿宋" w:eastAsia="仿宋" w:cs="仿宋"/>
          <w:color w:val="auto"/>
          <w:sz w:val="24"/>
          <w:szCs w:val="24"/>
          <w:highlight w:val="none"/>
          <w:lang w:val="en-US"/>
        </w:rPr>
        <w:t>。</w:t>
      </w:r>
    </w:p>
    <w:p w14:paraId="453270C6">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6" w:name="_Toc90001"/>
      <w:r>
        <w:rPr>
          <w:rFonts w:hint="eastAsia" w:ascii="仿宋" w:hAnsi="仿宋" w:eastAsia="仿宋" w:cs="仿宋"/>
          <w:b/>
          <w:color w:val="auto"/>
          <w:kern w:val="0"/>
          <w:sz w:val="24"/>
          <w:szCs w:val="24"/>
          <w:highlight w:val="none"/>
          <w:lang w:val="en-US" w:eastAsia="zh-CN" w:bidi="ar-SA"/>
        </w:rPr>
        <w:t>6.</w:t>
      </w:r>
      <w:bookmarkEnd w:id="6"/>
      <w:r>
        <w:rPr>
          <w:rFonts w:hint="eastAsia" w:ascii="仿宋" w:hAnsi="仿宋" w:eastAsia="仿宋" w:cs="仿宋"/>
          <w:b/>
          <w:color w:val="auto"/>
          <w:kern w:val="0"/>
          <w:sz w:val="24"/>
          <w:szCs w:val="24"/>
          <w:highlight w:val="none"/>
          <w:lang w:val="en-US" w:eastAsia="zh-CN" w:bidi="ar-SA"/>
        </w:rPr>
        <w:t>响应保证金</w:t>
      </w:r>
    </w:p>
    <w:p w14:paraId="2CDECA58">
      <w:pPr>
        <w:keepNext w:val="0"/>
        <w:keepLines w:val="0"/>
        <w:pageBreakBefore w:val="0"/>
        <w:kinsoku/>
        <w:wordWrap/>
        <w:overflowPunct/>
        <w:topLinePunct w:val="0"/>
        <w:autoSpaceDE/>
        <w:autoSpaceDN/>
        <w:bidi w:val="0"/>
        <w:spacing w:line="500" w:lineRule="exact"/>
        <w:ind w:firstLine="480" w:firstLineChars="200"/>
        <w:textAlignment w:val="auto"/>
        <w:rPr>
          <w:rStyle w:val="62"/>
          <w:rFonts w:hint="eastAsia" w:ascii="仿宋" w:hAnsi="仿宋" w:eastAsia="仿宋" w:cs="仿宋"/>
          <w:color w:val="auto"/>
          <w:sz w:val="24"/>
          <w:highlight w:val="none"/>
          <w:lang w:val="en-US"/>
        </w:rPr>
      </w:pPr>
      <w:r>
        <w:rPr>
          <w:rStyle w:val="62"/>
          <w:rFonts w:hint="eastAsia" w:ascii="仿宋" w:hAnsi="仿宋" w:eastAsia="仿宋" w:cs="仿宋"/>
          <w:color w:val="auto"/>
          <w:sz w:val="24"/>
          <w:szCs w:val="24"/>
          <w:highlight w:val="none"/>
          <w:lang w:val="en-US"/>
        </w:rPr>
        <w:t>6.1响应保证金金额为人民币100</w:t>
      </w:r>
      <w:r>
        <w:rPr>
          <w:rStyle w:val="62"/>
          <w:rFonts w:hint="eastAsia" w:ascii="仿宋" w:hAnsi="仿宋" w:eastAsia="仿宋" w:cs="仿宋"/>
          <w:b w:val="0"/>
          <w:bCs w:val="0"/>
          <w:color w:val="auto"/>
          <w:sz w:val="24"/>
          <w:szCs w:val="24"/>
          <w:highlight w:val="none"/>
          <w:lang w:val="en-US"/>
        </w:rPr>
        <w:t>00元（大写：壹万元整）。响应保证金应当采用银行电汇、转账、网上银行非现金形式交纳。响应保证金应于响应文件递交截止时间前按时从供应商基本账户一次性足</w:t>
      </w:r>
      <w:r>
        <w:rPr>
          <w:rStyle w:val="62"/>
          <w:rFonts w:hint="eastAsia" w:ascii="仿宋" w:hAnsi="仿宋" w:eastAsia="仿宋" w:cs="仿宋"/>
          <w:color w:val="auto"/>
          <w:sz w:val="24"/>
          <w:szCs w:val="24"/>
          <w:highlight w:val="none"/>
          <w:lang w:val="en-US"/>
        </w:rPr>
        <w:t>额转账至采购人账户内，如未按要求转入，将作无效响应处理。</w:t>
      </w:r>
    </w:p>
    <w:p w14:paraId="5528B5DC">
      <w:pPr>
        <w:keepNext w:val="0"/>
        <w:keepLines w:val="0"/>
        <w:pageBreakBefore w:val="0"/>
        <w:kinsoku/>
        <w:wordWrap/>
        <w:overflowPunct/>
        <w:topLinePunct w:val="0"/>
        <w:autoSpaceDE/>
        <w:autoSpaceDN/>
        <w:bidi w:val="0"/>
        <w:spacing w:line="500" w:lineRule="exact"/>
        <w:ind w:firstLine="480" w:firstLineChars="200"/>
        <w:textAlignment w:val="auto"/>
        <w:rPr>
          <w:rStyle w:val="62"/>
          <w:rFonts w:hint="eastAsia" w:ascii="仿宋" w:hAnsi="仿宋" w:eastAsia="仿宋" w:cs="仿宋"/>
          <w:color w:val="auto"/>
          <w:sz w:val="24"/>
          <w:highlight w:val="none"/>
          <w:lang w:val="en-US" w:eastAsia="zh-CN"/>
        </w:rPr>
      </w:pPr>
      <w:r>
        <w:rPr>
          <w:rStyle w:val="62"/>
          <w:rFonts w:hint="eastAsia" w:ascii="仿宋" w:hAnsi="仿宋" w:eastAsia="仿宋" w:cs="仿宋"/>
          <w:color w:val="auto"/>
          <w:sz w:val="24"/>
          <w:highlight w:val="none"/>
          <w:lang w:val="en-US" w:eastAsia="zh-CN"/>
        </w:rPr>
        <w:t>收款单位：赣州旅投景区管理集团有限公司</w:t>
      </w:r>
    </w:p>
    <w:p w14:paraId="29C2E8D6">
      <w:pPr>
        <w:keepNext w:val="0"/>
        <w:keepLines w:val="0"/>
        <w:pageBreakBefore w:val="0"/>
        <w:kinsoku/>
        <w:wordWrap/>
        <w:overflowPunct/>
        <w:topLinePunct w:val="0"/>
        <w:autoSpaceDE/>
        <w:autoSpaceDN/>
        <w:bidi w:val="0"/>
        <w:spacing w:line="500" w:lineRule="exact"/>
        <w:ind w:firstLine="480" w:firstLineChars="200"/>
        <w:textAlignment w:val="auto"/>
        <w:rPr>
          <w:rStyle w:val="62"/>
          <w:rFonts w:hint="eastAsia" w:ascii="仿宋" w:hAnsi="仿宋" w:eastAsia="仿宋" w:cs="仿宋"/>
          <w:color w:val="auto"/>
          <w:sz w:val="24"/>
          <w:highlight w:val="none"/>
          <w:lang w:val="en-US" w:eastAsia="zh-CN"/>
        </w:rPr>
      </w:pPr>
      <w:r>
        <w:rPr>
          <w:rStyle w:val="62"/>
          <w:rFonts w:hint="eastAsia" w:ascii="仿宋" w:hAnsi="仿宋" w:eastAsia="仿宋" w:cs="仿宋"/>
          <w:color w:val="auto"/>
          <w:sz w:val="24"/>
          <w:highlight w:val="none"/>
          <w:lang w:val="en-US" w:eastAsia="zh-CN"/>
        </w:rPr>
        <w:t>开户行：九江银行赣州分行</w:t>
      </w:r>
    </w:p>
    <w:p w14:paraId="3A2D5EE8">
      <w:pPr>
        <w:keepNext w:val="0"/>
        <w:keepLines w:val="0"/>
        <w:pageBreakBefore w:val="0"/>
        <w:kinsoku/>
        <w:wordWrap/>
        <w:overflowPunct/>
        <w:topLinePunct w:val="0"/>
        <w:autoSpaceDE/>
        <w:autoSpaceDN/>
        <w:bidi w:val="0"/>
        <w:spacing w:line="500" w:lineRule="exact"/>
        <w:ind w:firstLine="480" w:firstLineChars="200"/>
        <w:textAlignment w:val="auto"/>
        <w:rPr>
          <w:rStyle w:val="62"/>
          <w:rFonts w:hint="eastAsia" w:ascii="仿宋" w:hAnsi="仿宋" w:eastAsia="仿宋" w:cs="仿宋"/>
          <w:color w:val="auto"/>
          <w:sz w:val="24"/>
          <w:highlight w:val="none"/>
          <w:lang w:val="en-US" w:eastAsia="zh-CN"/>
        </w:rPr>
      </w:pPr>
      <w:r>
        <w:rPr>
          <w:rStyle w:val="62"/>
          <w:rFonts w:hint="eastAsia" w:ascii="仿宋" w:hAnsi="仿宋" w:eastAsia="仿宋" w:cs="仿宋"/>
          <w:color w:val="auto"/>
          <w:sz w:val="24"/>
          <w:highlight w:val="none"/>
          <w:lang w:val="en-US" w:eastAsia="zh-CN"/>
        </w:rPr>
        <w:t>银行账号：2870 1940 0000 0007 25</w:t>
      </w:r>
    </w:p>
    <w:p w14:paraId="0395D1F9">
      <w:pPr>
        <w:keepNext w:val="0"/>
        <w:keepLines w:val="0"/>
        <w:pageBreakBefore w:val="0"/>
        <w:kinsoku/>
        <w:wordWrap/>
        <w:overflowPunct/>
        <w:topLinePunct w:val="0"/>
        <w:autoSpaceDE/>
        <w:autoSpaceDN/>
        <w:bidi w:val="0"/>
        <w:spacing w:line="500" w:lineRule="exact"/>
        <w:ind w:firstLine="475" w:firstLineChars="66"/>
        <w:textAlignment w:val="auto"/>
        <w:rPr>
          <w:rStyle w:val="62"/>
          <w:rFonts w:hint="eastAsia" w:ascii="仿宋" w:hAnsi="仿宋" w:eastAsia="仿宋" w:cs="仿宋"/>
          <w:b/>
          <w:bCs/>
          <w:color w:val="auto"/>
          <w:sz w:val="24"/>
          <w:highlight w:val="none"/>
          <w:lang w:val="en-US" w:eastAsia="zh-CN"/>
        </w:rPr>
      </w:pPr>
      <w:bookmarkStart w:id="7" w:name="_Toc1702"/>
      <w:bookmarkStart w:id="8" w:name="_Toc20184"/>
      <w:bookmarkStart w:id="9" w:name="_Toc28407"/>
      <w:r>
        <w:rPr>
          <w:rStyle w:val="62"/>
          <w:rFonts w:hint="eastAsia" w:ascii="仿宋" w:hAnsi="仿宋" w:eastAsia="仿宋" w:cs="仿宋"/>
          <w:color w:val="auto"/>
          <w:spacing w:val="240"/>
          <w:kern w:val="0"/>
          <w:sz w:val="24"/>
          <w:highlight w:val="none"/>
          <w:fitText w:val="960" w:id="1677538923"/>
          <w:lang w:val="en-US"/>
        </w:rPr>
        <w:t>附</w:t>
      </w:r>
      <w:r>
        <w:rPr>
          <w:rStyle w:val="62"/>
          <w:rFonts w:hint="eastAsia" w:ascii="仿宋" w:hAnsi="仿宋" w:eastAsia="仿宋" w:cs="仿宋"/>
          <w:color w:val="auto"/>
          <w:spacing w:val="0"/>
          <w:kern w:val="0"/>
          <w:sz w:val="24"/>
          <w:highlight w:val="none"/>
          <w:fitText w:val="960" w:id="1677538923"/>
          <w:lang w:val="en-US"/>
        </w:rPr>
        <w:t>言</w:t>
      </w:r>
      <w:r>
        <w:rPr>
          <w:rStyle w:val="62"/>
          <w:rFonts w:hint="eastAsia" w:ascii="仿宋" w:hAnsi="仿宋" w:eastAsia="仿宋" w:cs="仿宋"/>
          <w:color w:val="auto"/>
          <w:kern w:val="0"/>
          <w:sz w:val="24"/>
          <w:highlight w:val="none"/>
          <w:lang w:val="en-US"/>
        </w:rPr>
        <w:t>：</w:t>
      </w:r>
      <w:r>
        <w:rPr>
          <w:rStyle w:val="62"/>
          <w:rFonts w:hint="eastAsia" w:ascii="仿宋" w:hAnsi="仿宋" w:eastAsia="仿宋" w:cs="仿宋"/>
          <w:b/>
          <w:bCs/>
          <w:color w:val="auto"/>
          <w:sz w:val="24"/>
          <w:highlight w:val="none"/>
          <w:lang w:val="en-US" w:eastAsia="zh-CN"/>
        </w:rPr>
        <w:t>赣州旅投景区管理集团有限公司公司食堂食材供应－框架协议供应商入围征集项目响应保证金</w:t>
      </w:r>
      <w:bookmarkEnd w:id="7"/>
      <w:bookmarkEnd w:id="8"/>
      <w:bookmarkEnd w:id="9"/>
    </w:p>
    <w:p w14:paraId="276AF6F3">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color w:val="auto"/>
          <w:sz w:val="24"/>
          <w:szCs w:val="24"/>
          <w:highlight w:val="none"/>
          <w:lang w:val="en-US" w:eastAsia="zh-Hans"/>
        </w:rPr>
      </w:pPr>
      <w:r>
        <w:rPr>
          <w:rStyle w:val="62"/>
          <w:rFonts w:hint="eastAsia" w:ascii="仿宋" w:hAnsi="仿宋" w:eastAsia="仿宋" w:cs="仿宋"/>
          <w:color w:val="auto"/>
          <w:sz w:val="24"/>
          <w:szCs w:val="24"/>
          <w:highlight w:val="none"/>
          <w:lang w:val="en-US"/>
        </w:rPr>
        <w:t>6.2响应保证金退还：</w:t>
      </w:r>
      <w:r>
        <w:rPr>
          <w:rStyle w:val="62"/>
          <w:rFonts w:hint="eastAsia" w:ascii="仿宋" w:hAnsi="仿宋" w:eastAsia="仿宋" w:cs="仿宋"/>
          <w:color w:val="auto"/>
          <w:sz w:val="24"/>
          <w:highlight w:val="none"/>
          <w:lang w:val="en-US"/>
        </w:rPr>
        <w:t>未中</w:t>
      </w:r>
      <w:r>
        <w:rPr>
          <w:rStyle w:val="62"/>
          <w:rFonts w:hint="eastAsia" w:ascii="仿宋" w:hAnsi="仿宋" w:eastAsia="仿宋" w:cs="仿宋"/>
          <w:color w:val="auto"/>
          <w:sz w:val="24"/>
          <w:highlight w:val="none"/>
          <w:lang w:val="en-US" w:eastAsia="zh-CN"/>
        </w:rPr>
        <w:t>选供应商</w:t>
      </w:r>
      <w:r>
        <w:rPr>
          <w:rStyle w:val="62"/>
          <w:rFonts w:hint="eastAsia" w:ascii="仿宋" w:hAnsi="仿宋" w:eastAsia="仿宋" w:cs="仿宋"/>
          <w:color w:val="auto"/>
          <w:sz w:val="24"/>
          <w:highlight w:val="none"/>
          <w:lang w:val="en-US"/>
        </w:rPr>
        <w:t>的</w:t>
      </w:r>
      <w:r>
        <w:rPr>
          <w:rStyle w:val="62"/>
          <w:rFonts w:hint="eastAsia" w:ascii="仿宋" w:hAnsi="仿宋" w:eastAsia="仿宋" w:cs="仿宋"/>
          <w:color w:val="auto"/>
          <w:sz w:val="24"/>
          <w:highlight w:val="none"/>
          <w:lang w:val="en-US" w:eastAsia="zh-CN"/>
        </w:rPr>
        <w:t>响应</w:t>
      </w:r>
      <w:r>
        <w:rPr>
          <w:rStyle w:val="62"/>
          <w:rFonts w:hint="eastAsia" w:ascii="仿宋" w:hAnsi="仿宋" w:eastAsia="仿宋" w:cs="仿宋"/>
          <w:color w:val="auto"/>
          <w:sz w:val="24"/>
          <w:highlight w:val="none"/>
          <w:lang w:val="en-US"/>
        </w:rPr>
        <w:t>保证金，在《</w:t>
      </w:r>
      <w:r>
        <w:rPr>
          <w:rStyle w:val="62"/>
          <w:rFonts w:hint="eastAsia" w:ascii="仿宋" w:hAnsi="仿宋" w:eastAsia="仿宋" w:cs="仿宋"/>
          <w:color w:val="auto"/>
          <w:sz w:val="24"/>
          <w:highlight w:val="none"/>
          <w:lang w:val="en-US" w:eastAsia="zh-CN"/>
        </w:rPr>
        <w:t>成交</w:t>
      </w:r>
      <w:r>
        <w:rPr>
          <w:rStyle w:val="62"/>
          <w:rFonts w:hint="eastAsia" w:ascii="仿宋" w:hAnsi="仿宋" w:eastAsia="仿宋" w:cs="仿宋"/>
          <w:color w:val="auto"/>
          <w:sz w:val="24"/>
          <w:highlight w:val="none"/>
          <w:lang w:val="en-US"/>
        </w:rPr>
        <w:t>通知书》发出</w:t>
      </w:r>
      <w:r>
        <w:rPr>
          <w:rStyle w:val="62"/>
          <w:rFonts w:hint="eastAsia" w:ascii="仿宋" w:hAnsi="仿宋" w:eastAsia="仿宋" w:cs="仿宋"/>
          <w:color w:val="auto"/>
          <w:sz w:val="24"/>
          <w:highlight w:val="none"/>
          <w:lang w:val="en-US" w:eastAsia="zh-CN"/>
        </w:rPr>
        <w:t>后14</w:t>
      </w:r>
      <w:r>
        <w:rPr>
          <w:rStyle w:val="62"/>
          <w:rFonts w:hint="eastAsia" w:ascii="仿宋" w:hAnsi="仿宋" w:eastAsia="仿宋" w:cs="仿宋"/>
          <w:color w:val="auto"/>
          <w:sz w:val="24"/>
          <w:highlight w:val="none"/>
          <w:lang w:val="en-US"/>
        </w:rPr>
        <w:t>个工作日内无息退还，</w:t>
      </w:r>
      <w:r>
        <w:rPr>
          <w:rStyle w:val="62"/>
          <w:rFonts w:hint="eastAsia" w:ascii="仿宋" w:hAnsi="仿宋" w:eastAsia="仿宋" w:cs="仿宋"/>
          <w:color w:val="auto"/>
          <w:sz w:val="24"/>
          <w:highlight w:val="none"/>
          <w:lang w:val="en-US" w:eastAsia="zh-CN"/>
        </w:rPr>
        <w:t>存在</w:t>
      </w:r>
      <w:r>
        <w:rPr>
          <w:rStyle w:val="62"/>
          <w:rFonts w:hint="eastAsia" w:ascii="仿宋" w:hAnsi="仿宋" w:eastAsia="仿宋" w:cs="仿宋"/>
          <w:color w:val="auto"/>
          <w:sz w:val="24"/>
          <w:highlight w:val="none"/>
          <w:lang w:val="en-US"/>
        </w:rPr>
        <w:t>质疑或投诉时，在质疑或投诉处理完毕后</w:t>
      </w:r>
      <w:r>
        <w:rPr>
          <w:rStyle w:val="62"/>
          <w:rFonts w:hint="eastAsia" w:ascii="仿宋" w:hAnsi="仿宋" w:eastAsia="仿宋" w:cs="仿宋"/>
          <w:color w:val="auto"/>
          <w:sz w:val="24"/>
          <w:highlight w:val="none"/>
          <w:lang w:val="en-US" w:eastAsia="zh-CN"/>
        </w:rPr>
        <w:t>14</w:t>
      </w:r>
      <w:r>
        <w:rPr>
          <w:rStyle w:val="62"/>
          <w:rFonts w:hint="eastAsia" w:ascii="仿宋" w:hAnsi="仿宋" w:eastAsia="仿宋" w:cs="仿宋"/>
          <w:color w:val="auto"/>
          <w:sz w:val="24"/>
          <w:highlight w:val="none"/>
          <w:lang w:val="en-US"/>
        </w:rPr>
        <w:t>个工作日内无息退还。</w:t>
      </w:r>
      <w:r>
        <w:rPr>
          <w:rStyle w:val="62"/>
          <w:rFonts w:hint="eastAsia" w:ascii="仿宋" w:hAnsi="仿宋" w:eastAsia="仿宋" w:cs="仿宋"/>
          <w:color w:val="auto"/>
          <w:sz w:val="24"/>
          <w:highlight w:val="none"/>
          <w:lang w:val="en-US" w:eastAsia="zh-CN"/>
        </w:rPr>
        <w:t>成交供应商</w:t>
      </w:r>
      <w:r>
        <w:rPr>
          <w:rStyle w:val="62"/>
          <w:rFonts w:hint="eastAsia" w:ascii="仿宋" w:hAnsi="仿宋" w:eastAsia="仿宋" w:cs="仿宋"/>
          <w:color w:val="auto"/>
          <w:sz w:val="24"/>
          <w:highlight w:val="none"/>
          <w:lang w:val="en-US"/>
        </w:rPr>
        <w:t>的</w:t>
      </w:r>
      <w:r>
        <w:rPr>
          <w:rStyle w:val="62"/>
          <w:rFonts w:hint="eastAsia" w:ascii="仿宋" w:hAnsi="仿宋" w:eastAsia="仿宋" w:cs="仿宋"/>
          <w:color w:val="auto"/>
          <w:sz w:val="24"/>
          <w:highlight w:val="none"/>
          <w:lang w:val="en-US" w:eastAsia="zh-CN"/>
        </w:rPr>
        <w:t>响应</w:t>
      </w:r>
      <w:r>
        <w:rPr>
          <w:rStyle w:val="62"/>
          <w:rFonts w:hint="eastAsia" w:ascii="仿宋" w:hAnsi="仿宋" w:eastAsia="仿宋" w:cs="仿宋"/>
          <w:color w:val="auto"/>
          <w:sz w:val="24"/>
          <w:highlight w:val="none"/>
          <w:lang w:val="en-US"/>
        </w:rPr>
        <w:t>保证金，在合同签订后</w:t>
      </w:r>
      <w:r>
        <w:rPr>
          <w:rStyle w:val="62"/>
          <w:rFonts w:hint="eastAsia" w:ascii="仿宋" w:hAnsi="仿宋" w:eastAsia="仿宋" w:cs="仿宋"/>
          <w:color w:val="auto"/>
          <w:sz w:val="24"/>
          <w:highlight w:val="none"/>
          <w:lang w:val="en-US" w:eastAsia="zh-CN"/>
        </w:rPr>
        <w:t>14</w:t>
      </w:r>
      <w:r>
        <w:rPr>
          <w:rStyle w:val="62"/>
          <w:rFonts w:hint="eastAsia" w:ascii="仿宋" w:hAnsi="仿宋" w:eastAsia="仿宋" w:cs="仿宋"/>
          <w:color w:val="auto"/>
          <w:sz w:val="24"/>
          <w:highlight w:val="none"/>
          <w:lang w:val="en-US"/>
        </w:rPr>
        <w:t>个工作日内无息退还</w:t>
      </w:r>
      <w:r>
        <w:rPr>
          <w:rStyle w:val="62"/>
          <w:rFonts w:hint="eastAsia" w:ascii="仿宋" w:hAnsi="仿宋" w:eastAsia="仿宋" w:cs="仿宋"/>
          <w:color w:val="auto"/>
          <w:sz w:val="24"/>
          <w:szCs w:val="24"/>
          <w:highlight w:val="none"/>
          <w:lang w:val="en-US"/>
        </w:rPr>
        <w:t>。</w:t>
      </w:r>
    </w:p>
    <w:p w14:paraId="7C645C32">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color w:val="auto"/>
          <w:sz w:val="24"/>
          <w:szCs w:val="24"/>
          <w:highlight w:val="none"/>
          <w:lang w:val="en-US" w:eastAsia="zh-Hans"/>
        </w:rPr>
      </w:pPr>
      <w:r>
        <w:rPr>
          <w:rStyle w:val="62"/>
          <w:rFonts w:hint="eastAsia" w:ascii="仿宋" w:hAnsi="仿宋" w:eastAsia="仿宋" w:cs="仿宋"/>
          <w:color w:val="auto"/>
          <w:sz w:val="24"/>
          <w:szCs w:val="24"/>
          <w:highlight w:val="none"/>
          <w:lang w:val="en-US"/>
        </w:rPr>
        <w:t>6.3响应保证金不予退还的情形：供应商有下列情形之一的，采购人有权不予退还其响应保证金：</w:t>
      </w:r>
    </w:p>
    <w:p w14:paraId="737E3F76">
      <w:pPr>
        <w:keepNext w:val="0"/>
        <w:keepLines w:val="0"/>
        <w:pageBreakBefore w:val="0"/>
        <w:kinsoku/>
        <w:wordWrap/>
        <w:overflowPunct/>
        <w:topLinePunct w:val="0"/>
        <w:autoSpaceDE/>
        <w:autoSpaceDN/>
        <w:bidi w:val="0"/>
        <w:spacing w:line="500" w:lineRule="exact"/>
        <w:ind w:firstLine="480" w:firstLineChars="200"/>
        <w:textAlignment w:val="auto"/>
        <w:rPr>
          <w:rStyle w:val="62"/>
          <w:rFonts w:hint="eastAsia" w:ascii="仿宋" w:hAnsi="仿宋" w:eastAsia="仿宋" w:cs="仿宋"/>
          <w:color w:val="auto"/>
          <w:sz w:val="24"/>
          <w:highlight w:val="none"/>
          <w:lang w:val="en-US"/>
        </w:rPr>
      </w:pPr>
      <w:r>
        <w:rPr>
          <w:rStyle w:val="62"/>
          <w:rFonts w:hint="eastAsia" w:ascii="仿宋" w:hAnsi="仿宋" w:eastAsia="仿宋" w:cs="仿宋"/>
          <w:color w:val="auto"/>
          <w:sz w:val="24"/>
          <w:highlight w:val="none"/>
          <w:lang w:val="en-US" w:eastAsia="zh-CN"/>
        </w:rPr>
        <w:t>（1）成交供应商</w:t>
      </w:r>
      <w:r>
        <w:rPr>
          <w:rStyle w:val="62"/>
          <w:rFonts w:hint="eastAsia" w:ascii="仿宋" w:hAnsi="仿宋" w:eastAsia="仿宋" w:cs="仿宋"/>
          <w:color w:val="auto"/>
          <w:sz w:val="24"/>
          <w:highlight w:val="none"/>
          <w:lang w:val="en-US"/>
        </w:rPr>
        <w:t>无正当理由不与</w:t>
      </w:r>
      <w:r>
        <w:rPr>
          <w:rStyle w:val="62"/>
          <w:rFonts w:hint="eastAsia" w:ascii="仿宋" w:hAnsi="仿宋" w:eastAsia="仿宋" w:cs="仿宋"/>
          <w:color w:val="auto"/>
          <w:sz w:val="24"/>
          <w:highlight w:val="none"/>
          <w:lang w:val="en-US" w:eastAsia="zh-CN"/>
        </w:rPr>
        <w:t>采购人</w:t>
      </w:r>
      <w:r>
        <w:rPr>
          <w:rStyle w:val="62"/>
          <w:rFonts w:hint="eastAsia" w:ascii="仿宋" w:hAnsi="仿宋" w:eastAsia="仿宋" w:cs="仿宋"/>
          <w:color w:val="auto"/>
          <w:sz w:val="24"/>
          <w:highlight w:val="none"/>
          <w:lang w:val="en-US"/>
        </w:rPr>
        <w:t>签订合同的；</w:t>
      </w:r>
    </w:p>
    <w:p w14:paraId="5C2470F3">
      <w:pPr>
        <w:keepNext w:val="0"/>
        <w:keepLines w:val="0"/>
        <w:pageBreakBefore w:val="0"/>
        <w:kinsoku/>
        <w:wordWrap/>
        <w:overflowPunct/>
        <w:topLinePunct w:val="0"/>
        <w:autoSpaceDE/>
        <w:autoSpaceDN/>
        <w:bidi w:val="0"/>
        <w:spacing w:line="500" w:lineRule="exact"/>
        <w:ind w:firstLine="480" w:firstLineChars="200"/>
        <w:textAlignment w:val="auto"/>
        <w:rPr>
          <w:rStyle w:val="62"/>
          <w:rFonts w:hint="eastAsia" w:ascii="仿宋" w:hAnsi="仿宋" w:eastAsia="仿宋" w:cs="仿宋"/>
          <w:b w:val="0"/>
          <w:bCs/>
          <w:color w:val="auto"/>
          <w:sz w:val="24"/>
          <w:highlight w:val="none"/>
          <w:lang w:val="en-US"/>
        </w:rPr>
      </w:pPr>
      <w:r>
        <w:rPr>
          <w:rStyle w:val="62"/>
          <w:rFonts w:hint="eastAsia" w:ascii="仿宋" w:hAnsi="仿宋" w:eastAsia="仿宋" w:cs="仿宋"/>
          <w:b w:val="0"/>
          <w:bCs/>
          <w:color w:val="auto"/>
          <w:sz w:val="24"/>
          <w:highlight w:val="none"/>
          <w:lang w:val="en-US" w:eastAsia="zh-CN"/>
        </w:rPr>
        <w:t>（2）供应商未在规定期限内提交履约保证金的；</w:t>
      </w:r>
    </w:p>
    <w:p w14:paraId="3DFFC748">
      <w:pPr>
        <w:keepNext w:val="0"/>
        <w:keepLines w:val="0"/>
        <w:pageBreakBefore w:val="0"/>
        <w:kinsoku/>
        <w:wordWrap/>
        <w:overflowPunct/>
        <w:topLinePunct w:val="0"/>
        <w:autoSpaceDE/>
        <w:autoSpaceDN/>
        <w:bidi w:val="0"/>
        <w:spacing w:line="500" w:lineRule="exact"/>
        <w:ind w:firstLine="480" w:firstLineChars="200"/>
        <w:textAlignment w:val="auto"/>
        <w:rPr>
          <w:rStyle w:val="62"/>
          <w:rFonts w:hint="eastAsia" w:ascii="仿宋" w:hAnsi="仿宋" w:eastAsia="仿宋" w:cs="仿宋"/>
          <w:b w:val="0"/>
          <w:bCs/>
          <w:color w:val="auto"/>
          <w:sz w:val="24"/>
          <w:highlight w:val="none"/>
          <w:lang w:val="en-US"/>
        </w:rPr>
      </w:pPr>
      <w:r>
        <w:rPr>
          <w:rStyle w:val="62"/>
          <w:rFonts w:hint="eastAsia" w:ascii="仿宋" w:hAnsi="仿宋" w:eastAsia="仿宋" w:cs="仿宋"/>
          <w:b w:val="0"/>
          <w:bCs/>
          <w:color w:val="auto"/>
          <w:sz w:val="24"/>
          <w:highlight w:val="none"/>
          <w:lang w:val="en-US" w:eastAsia="zh-CN"/>
        </w:rPr>
        <w:t>（3）供应商提供虚假材料或虚假陈述的；</w:t>
      </w:r>
    </w:p>
    <w:p w14:paraId="576AD5AE">
      <w:pPr>
        <w:keepNext w:val="0"/>
        <w:keepLines w:val="0"/>
        <w:pageBreakBefore w:val="0"/>
        <w:kinsoku/>
        <w:wordWrap/>
        <w:overflowPunct/>
        <w:topLinePunct w:val="0"/>
        <w:autoSpaceDE/>
        <w:autoSpaceDN/>
        <w:bidi w:val="0"/>
        <w:spacing w:line="500" w:lineRule="exact"/>
        <w:ind w:firstLine="480" w:firstLineChars="200"/>
        <w:textAlignment w:val="auto"/>
        <w:rPr>
          <w:rStyle w:val="62"/>
          <w:rFonts w:hint="eastAsia" w:ascii="仿宋" w:hAnsi="仿宋" w:eastAsia="仿宋" w:cs="仿宋"/>
          <w:b w:val="0"/>
          <w:bCs/>
          <w:color w:val="auto"/>
          <w:sz w:val="24"/>
          <w:highlight w:val="none"/>
          <w:lang w:val="en-US"/>
        </w:rPr>
      </w:pPr>
      <w:r>
        <w:rPr>
          <w:rStyle w:val="62"/>
          <w:rFonts w:hint="eastAsia" w:ascii="仿宋" w:hAnsi="仿宋" w:eastAsia="仿宋" w:cs="仿宋"/>
          <w:b w:val="0"/>
          <w:bCs/>
          <w:color w:val="auto"/>
          <w:sz w:val="24"/>
          <w:highlight w:val="none"/>
          <w:lang w:val="en-US" w:eastAsia="zh-CN"/>
        </w:rPr>
        <w:t>（4）供应商串通投标的；</w:t>
      </w:r>
    </w:p>
    <w:p w14:paraId="0C6BF606">
      <w:pPr>
        <w:keepNext w:val="0"/>
        <w:keepLines w:val="0"/>
        <w:pageBreakBefore w:val="0"/>
        <w:kinsoku/>
        <w:wordWrap/>
        <w:overflowPunct/>
        <w:topLinePunct w:val="0"/>
        <w:autoSpaceDE/>
        <w:autoSpaceDN/>
        <w:bidi w:val="0"/>
        <w:spacing w:line="500" w:lineRule="exact"/>
        <w:ind w:firstLine="480" w:firstLineChars="200"/>
        <w:textAlignment w:val="auto"/>
        <w:rPr>
          <w:rFonts w:hint="eastAsia"/>
          <w:b w:val="0"/>
          <w:bCs/>
          <w:color w:val="auto"/>
          <w:highlight w:val="none"/>
        </w:rPr>
      </w:pPr>
      <w:r>
        <w:rPr>
          <w:rStyle w:val="62"/>
          <w:rFonts w:hint="eastAsia" w:ascii="仿宋" w:hAnsi="仿宋" w:eastAsia="仿宋" w:cs="仿宋"/>
          <w:b w:val="0"/>
          <w:bCs/>
          <w:color w:val="auto"/>
          <w:sz w:val="24"/>
          <w:highlight w:val="none"/>
          <w:lang w:val="en-US" w:eastAsia="zh-CN"/>
        </w:rPr>
        <w:t>（5）供应商在征集文件规定的响应有效期内撤回其响应文件的；</w:t>
      </w:r>
    </w:p>
    <w:p w14:paraId="0735B60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color w:val="auto"/>
          <w:sz w:val="24"/>
          <w:szCs w:val="24"/>
          <w:highlight w:val="none"/>
          <w:lang w:val="en-US"/>
        </w:rPr>
      </w:pPr>
      <w:r>
        <w:rPr>
          <w:rStyle w:val="62"/>
          <w:rFonts w:hint="eastAsia" w:ascii="仿宋" w:hAnsi="仿宋" w:eastAsia="仿宋" w:cs="仿宋"/>
          <w:b w:val="0"/>
          <w:bCs/>
          <w:color w:val="auto"/>
          <w:sz w:val="24"/>
          <w:highlight w:val="none"/>
          <w:lang w:val="en-US" w:eastAsia="zh-CN"/>
        </w:rPr>
        <w:t>（6）被确定为签约供应商后，无正当理由（包括以自身报价下浮过高无法履约等）放弃签约、拒绝签订合同的；</w:t>
      </w:r>
    </w:p>
    <w:p w14:paraId="5F98B9BE">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color w:val="auto"/>
          <w:sz w:val="24"/>
          <w:szCs w:val="24"/>
          <w:highlight w:val="none"/>
          <w:lang w:val="en-US" w:eastAsia="zh-Hans"/>
        </w:rPr>
      </w:pPr>
      <w:r>
        <w:rPr>
          <w:rStyle w:val="62"/>
          <w:rFonts w:hint="eastAsia" w:ascii="仿宋" w:hAnsi="仿宋" w:eastAsia="仿宋" w:cs="仿宋"/>
          <w:b w:val="0"/>
          <w:bCs/>
          <w:color w:val="auto"/>
          <w:sz w:val="24"/>
          <w:highlight w:val="none"/>
          <w:lang w:val="en-US" w:eastAsia="zh-CN"/>
        </w:rPr>
        <w:t>（7）在响应活动中有其他违反征集文件规定、损害采购人合法权益行为的。</w:t>
      </w:r>
    </w:p>
    <w:p w14:paraId="22A15D12">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color w:val="auto"/>
          <w:sz w:val="24"/>
          <w:szCs w:val="24"/>
          <w:highlight w:val="none"/>
          <w:lang w:val="en-US" w:eastAsia="zh-Hans"/>
        </w:rPr>
      </w:pPr>
      <w:r>
        <w:rPr>
          <w:rStyle w:val="62"/>
          <w:rFonts w:hint="eastAsia" w:ascii="仿宋" w:hAnsi="仿宋" w:eastAsia="仿宋" w:cs="仿宋"/>
          <w:color w:val="auto"/>
          <w:sz w:val="24"/>
          <w:szCs w:val="24"/>
          <w:highlight w:val="none"/>
          <w:lang w:val="en-US"/>
        </w:rPr>
        <w:t>6.4响应保证金不予退还的，采购人有权将款项用于弥补由此造成的损失，不足部分由供应商另行承担；涉嫌违法犯罪的，依法移送有关机关处理。</w:t>
      </w:r>
    </w:p>
    <w:p w14:paraId="43E883A7">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10" w:name="_Toc19569"/>
      <w:r>
        <w:rPr>
          <w:rFonts w:hint="eastAsia" w:ascii="仿宋" w:hAnsi="仿宋" w:eastAsia="仿宋" w:cs="仿宋"/>
          <w:b/>
          <w:color w:val="auto"/>
          <w:kern w:val="0"/>
          <w:sz w:val="24"/>
          <w:szCs w:val="24"/>
          <w:highlight w:val="none"/>
          <w:lang w:val="en-US" w:eastAsia="zh-CN" w:bidi="ar-SA"/>
        </w:rPr>
        <w:t>7.响应文件的开启</w:t>
      </w:r>
      <w:bookmarkEnd w:id="10"/>
    </w:p>
    <w:p w14:paraId="57024291">
      <w:pPr>
        <w:keepNext w:val="0"/>
        <w:keepLines w:val="0"/>
        <w:pageBreakBefore w:val="0"/>
        <w:kinsoku/>
        <w:wordWrap/>
        <w:overflowPunct/>
        <w:topLinePunct w:val="0"/>
        <w:autoSpaceDE/>
        <w:autoSpaceDN/>
        <w:bidi w:val="0"/>
        <w:adjustRightInd/>
        <w:snapToGrid/>
        <w:spacing w:line="500" w:lineRule="exact"/>
        <w:ind w:firstLine="480" w:firstLineChars="200"/>
        <w:jc w:val="both"/>
        <w:textAlignment w:val="auto"/>
        <w:rPr>
          <w:rStyle w:val="62"/>
          <w:rFonts w:hint="eastAsia" w:ascii="仿宋" w:hAnsi="仿宋" w:eastAsia="仿宋" w:cs="仿宋"/>
          <w:b w:val="0"/>
          <w:bCs w:val="0"/>
          <w:color w:val="auto"/>
          <w:sz w:val="24"/>
          <w:szCs w:val="24"/>
          <w:highlight w:val="none"/>
          <w:lang w:val="en-US"/>
        </w:rPr>
      </w:pPr>
      <w:r>
        <w:rPr>
          <w:rStyle w:val="62"/>
          <w:rFonts w:hint="eastAsia" w:ascii="仿宋" w:hAnsi="仿宋" w:eastAsia="仿宋" w:cs="仿宋"/>
          <w:b w:val="0"/>
          <w:bCs w:val="0"/>
          <w:color w:val="auto"/>
          <w:sz w:val="24"/>
          <w:szCs w:val="24"/>
          <w:highlight w:val="none"/>
          <w:lang w:val="en-US" w:eastAsia="zh-CN"/>
        </w:rPr>
        <w:t>1.</w:t>
      </w:r>
      <w:r>
        <w:rPr>
          <w:rStyle w:val="62"/>
          <w:rFonts w:hint="eastAsia" w:ascii="仿宋" w:hAnsi="仿宋" w:eastAsia="仿宋" w:cs="仿宋"/>
          <w:b w:val="0"/>
          <w:bCs w:val="0"/>
          <w:color w:val="auto"/>
          <w:sz w:val="24"/>
          <w:szCs w:val="24"/>
          <w:highlight w:val="none"/>
          <w:lang w:val="en-US"/>
        </w:rPr>
        <w:t>响应文件递交截止时间和</w:t>
      </w:r>
      <w:r>
        <w:rPr>
          <w:rStyle w:val="62"/>
          <w:rFonts w:hint="eastAsia" w:ascii="仿宋" w:hAnsi="仿宋" w:eastAsia="仿宋" w:cs="仿宋"/>
          <w:b w:val="0"/>
          <w:bCs w:val="0"/>
          <w:color w:val="auto"/>
          <w:sz w:val="24"/>
          <w:szCs w:val="24"/>
          <w:highlight w:val="none"/>
          <w:lang w:val="en-US" w:eastAsia="zh-CN"/>
        </w:rPr>
        <w:t>开启</w:t>
      </w:r>
      <w:r>
        <w:rPr>
          <w:rStyle w:val="62"/>
          <w:rFonts w:hint="eastAsia" w:ascii="仿宋" w:hAnsi="仿宋" w:eastAsia="仿宋" w:cs="仿宋"/>
          <w:b w:val="0"/>
          <w:bCs w:val="0"/>
          <w:color w:val="auto"/>
          <w:sz w:val="24"/>
          <w:szCs w:val="24"/>
          <w:highlight w:val="none"/>
          <w:lang w:val="en-US"/>
        </w:rPr>
        <w:t>时间：</w:t>
      </w:r>
      <w:r>
        <w:rPr>
          <w:rStyle w:val="62"/>
          <w:rFonts w:hint="eastAsia" w:ascii="仿宋" w:hAnsi="仿宋" w:eastAsia="仿宋" w:cs="仿宋"/>
          <w:b w:val="0"/>
          <w:bCs w:val="0"/>
          <w:color w:val="auto"/>
          <w:sz w:val="24"/>
          <w:szCs w:val="24"/>
          <w:highlight w:val="none"/>
          <w:lang w:val="en-US" w:eastAsia="zh-CN"/>
        </w:rPr>
        <w:t>2026年10月30日10</w:t>
      </w:r>
      <w:r>
        <w:rPr>
          <w:rStyle w:val="62"/>
          <w:rFonts w:hint="eastAsia" w:ascii="仿宋" w:hAnsi="仿宋" w:eastAsia="仿宋" w:cs="仿宋"/>
          <w:b w:val="0"/>
          <w:bCs w:val="0"/>
          <w:color w:val="auto"/>
          <w:sz w:val="24"/>
          <w:szCs w:val="24"/>
          <w:highlight w:val="none"/>
          <w:lang w:val="en-US"/>
        </w:rPr>
        <w:t>时（北京时间）。</w:t>
      </w:r>
    </w:p>
    <w:p w14:paraId="2177C14F">
      <w:pPr>
        <w:keepNext w:val="0"/>
        <w:keepLines w:val="0"/>
        <w:pageBreakBefore w:val="0"/>
        <w:kinsoku/>
        <w:wordWrap/>
        <w:overflowPunct/>
        <w:topLinePunct w:val="0"/>
        <w:autoSpaceDE/>
        <w:autoSpaceDN/>
        <w:bidi w:val="0"/>
        <w:adjustRightInd/>
        <w:snapToGrid/>
        <w:spacing w:line="500" w:lineRule="exact"/>
        <w:ind w:firstLine="480" w:firstLineChars="200"/>
        <w:jc w:val="both"/>
        <w:textAlignment w:val="auto"/>
        <w:rPr>
          <w:rStyle w:val="62"/>
          <w:rFonts w:hint="eastAsia" w:ascii="仿宋" w:hAnsi="仿宋" w:eastAsia="仿宋" w:cs="仿宋"/>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2.响应文件开启、评审</w:t>
      </w:r>
      <w:r>
        <w:rPr>
          <w:rStyle w:val="62"/>
          <w:rFonts w:hint="eastAsia" w:ascii="仿宋" w:hAnsi="仿宋" w:eastAsia="仿宋" w:cs="仿宋"/>
          <w:b w:val="0"/>
          <w:bCs w:val="0"/>
          <w:color w:val="auto"/>
          <w:sz w:val="24"/>
          <w:szCs w:val="24"/>
          <w:highlight w:val="none"/>
          <w:lang w:val="en-US"/>
        </w:rPr>
        <w:t>地点</w:t>
      </w:r>
      <w:r>
        <w:rPr>
          <w:rStyle w:val="62"/>
          <w:rFonts w:hint="eastAsia" w:ascii="仿宋" w:hAnsi="仿宋" w:eastAsia="仿宋" w:cs="仿宋"/>
          <w:color w:val="auto"/>
          <w:sz w:val="24"/>
          <w:szCs w:val="24"/>
          <w:highlight w:val="none"/>
          <w:lang w:val="en-US"/>
        </w:rPr>
        <w:t>：</w:t>
      </w:r>
      <w:r>
        <w:rPr>
          <w:rStyle w:val="62"/>
          <w:rFonts w:hint="eastAsia" w:ascii="仿宋" w:hAnsi="仿宋" w:eastAsia="仿宋" w:cs="仿宋"/>
          <w:color w:val="auto"/>
          <w:sz w:val="24"/>
          <w:szCs w:val="24"/>
          <w:highlight w:val="none"/>
          <w:lang w:val="en-US" w:eastAsia="zh-CN"/>
        </w:rPr>
        <w:t>江西省赣州市章贡区江南宋城历史文化旅游区百家岭8号1楼会议室</w:t>
      </w:r>
    </w:p>
    <w:p w14:paraId="725455DC">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11" w:name="_Toc27719"/>
      <w:r>
        <w:rPr>
          <w:rFonts w:hint="eastAsia" w:ascii="仿宋" w:hAnsi="仿宋" w:eastAsia="仿宋" w:cs="仿宋"/>
          <w:b/>
          <w:color w:val="auto"/>
          <w:kern w:val="0"/>
          <w:sz w:val="24"/>
          <w:szCs w:val="24"/>
          <w:highlight w:val="none"/>
          <w:lang w:val="en-US" w:eastAsia="zh-CN" w:bidi="ar-SA"/>
        </w:rPr>
        <w:t>8.合同签订及付款条件</w:t>
      </w:r>
      <w:bookmarkEnd w:id="11"/>
    </w:p>
    <w:p w14:paraId="64D34ECA">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8.1合同签订：</w:t>
      </w:r>
    </w:p>
    <w:p w14:paraId="4FB21A99">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（1）入围框架协议供应商与赣州旅投景区管理集团有限公司签订框架协议，框架协议内供应商依据排名选定成交供应商签订正式采购合同。</w:t>
      </w:r>
    </w:p>
    <w:p w14:paraId="4E886C3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（2）实行履约保证金担保，接到成交通知书后7天内提交合同金额5%履约保证金，合同履约完成后无息退还。</w:t>
      </w:r>
    </w:p>
    <w:p w14:paraId="2E35446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8.2付款条件：</w:t>
      </w:r>
    </w:p>
    <w:p w14:paraId="37FBC568">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按月据实结算。结算周期为每个自然月（如1月的结算周期为1月1日至1月31日）。供应商应于每月5日前，就上月的账目与采购人进行核对。经双方核对无误后，供应商须按照采购人提供的统一模板制作电子版对账单，并将该对账周期内完整的送货单凭证整理成册，一并提交给采购人。采购人确认无误后，通知供应商签署书面结算清单，并同步提供开票明细。供应商应在付款前向采购人开具与结算金额等额的增值税专用发票。采购人收到合规发票后，按约定支付相应款项。</w:t>
      </w:r>
    </w:p>
    <w:p w14:paraId="086F57FB">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（2）本次采购无论供应商为小规模纳税人或一般纳税人，均须提供足额税率增值税专用发票，免税农产品可提供免税发票。</w:t>
      </w:r>
      <w:r>
        <w:rPr>
          <w:rFonts w:hint="eastAsia" w:ascii="仿宋" w:hAnsi="仿宋" w:eastAsia="仿宋" w:cs="仿宋"/>
          <w:b/>
          <w:bCs/>
          <w:color w:val="auto"/>
          <w:sz w:val="24"/>
          <w:szCs w:val="24"/>
          <w:highlight w:val="none"/>
          <w:lang w:val="en-US" w:eastAsia="zh-CN"/>
        </w:rPr>
        <w:t>【重点标注】</w:t>
      </w:r>
      <w:r>
        <w:rPr>
          <w:rFonts w:hint="eastAsia" w:ascii="仿宋" w:hAnsi="仿宋" w:eastAsia="仿宋" w:cs="仿宋"/>
          <w:color w:val="auto"/>
          <w:sz w:val="24"/>
          <w:szCs w:val="24"/>
          <w:highlight w:val="none"/>
          <w:lang w:val="en-US" w:eastAsia="zh-CN"/>
        </w:rPr>
        <w:t>小规模纳税人供应免税范围外【初级农产品】需提供3%征收率专票，按发票不含税金额×9%计算抵扣进项。其余产品则在不含税采购价基础上，付款时扣除因进项不足导致采购人的税负损失，计算方式为：扣除金额=不含税采购价×（一般纳税人税率-小规模纳税人税率）×（1+采购人附加税率），请各小规模纳税人综合考虑后进行响应下浮报价。</w:t>
      </w:r>
    </w:p>
    <w:p w14:paraId="628FE70C">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12" w:name="_Toc12369"/>
      <w:r>
        <w:rPr>
          <w:rFonts w:hint="eastAsia" w:ascii="仿宋" w:hAnsi="仿宋" w:eastAsia="仿宋" w:cs="仿宋"/>
          <w:b/>
          <w:color w:val="auto"/>
          <w:kern w:val="0"/>
          <w:sz w:val="24"/>
          <w:szCs w:val="24"/>
          <w:highlight w:val="none"/>
          <w:lang w:val="en-US" w:eastAsia="zh-CN" w:bidi="ar-SA"/>
        </w:rPr>
        <w:t>9.发布公告的媒介</w:t>
      </w:r>
      <w:bookmarkEnd w:id="12"/>
    </w:p>
    <w:p w14:paraId="57C51D88">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本次</w:t>
      </w:r>
      <w:r>
        <w:rPr>
          <w:rFonts w:hint="eastAsia" w:ascii="仿宋" w:hAnsi="仿宋" w:eastAsia="仿宋" w:cs="仿宋"/>
          <w:color w:val="auto"/>
          <w:sz w:val="24"/>
          <w:szCs w:val="24"/>
          <w:highlight w:val="none"/>
          <w:lang w:val="en-US" w:eastAsia="zh-CN"/>
        </w:rPr>
        <w:t>征集</w:t>
      </w:r>
      <w:r>
        <w:rPr>
          <w:rFonts w:hint="eastAsia" w:ascii="仿宋" w:hAnsi="仿宋" w:eastAsia="仿宋" w:cs="仿宋"/>
          <w:color w:val="auto"/>
          <w:sz w:val="24"/>
          <w:szCs w:val="24"/>
          <w:highlight w:val="none"/>
        </w:rPr>
        <w:t>公告在</w:t>
      </w:r>
      <w:r>
        <w:rPr>
          <w:rFonts w:hint="eastAsia" w:ascii="仿宋" w:hAnsi="仿宋" w:eastAsia="仿宋" w:cs="仿宋"/>
          <w:color w:val="auto"/>
          <w:sz w:val="24"/>
          <w:szCs w:val="24"/>
          <w:highlight w:val="none"/>
          <w:u w:val="single"/>
          <w:lang w:eastAsia="zh-CN"/>
        </w:rPr>
        <w:t>赣州旅游投资集团官网、宋潮</w:t>
      </w:r>
      <w:r>
        <w:rPr>
          <w:rFonts w:hint="eastAsia" w:ascii="仿宋" w:hAnsi="仿宋" w:eastAsia="仿宋" w:cs="仿宋"/>
          <w:color w:val="auto"/>
          <w:sz w:val="24"/>
          <w:szCs w:val="24"/>
          <w:highlight w:val="none"/>
          <w:u w:val="single"/>
          <w:lang w:val="en-US" w:eastAsia="zh-CN"/>
        </w:rPr>
        <w:t>不夜城资讯</w:t>
      </w:r>
      <w:r>
        <w:rPr>
          <w:rFonts w:hint="eastAsia" w:ascii="仿宋" w:hAnsi="仿宋" w:eastAsia="仿宋" w:cs="仿宋"/>
          <w:color w:val="auto"/>
          <w:sz w:val="24"/>
          <w:szCs w:val="24"/>
          <w:highlight w:val="none"/>
          <w:u w:val="single"/>
          <w:lang w:eastAsia="zh-CN"/>
        </w:rPr>
        <w:t>平台</w:t>
      </w:r>
      <w:r>
        <w:rPr>
          <w:rFonts w:hint="eastAsia" w:ascii="仿宋" w:hAnsi="仿宋" w:eastAsia="仿宋" w:cs="仿宋"/>
          <w:color w:val="auto"/>
          <w:sz w:val="24"/>
          <w:szCs w:val="24"/>
          <w:highlight w:val="none"/>
        </w:rPr>
        <w:t>发布。</w:t>
      </w:r>
    </w:p>
    <w:p w14:paraId="40A5DA2C">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13" w:name="_Toc30718"/>
      <w:r>
        <w:rPr>
          <w:rFonts w:hint="eastAsia" w:ascii="仿宋" w:hAnsi="仿宋" w:eastAsia="仿宋" w:cs="仿宋"/>
          <w:b/>
          <w:color w:val="auto"/>
          <w:kern w:val="0"/>
          <w:sz w:val="24"/>
          <w:szCs w:val="24"/>
          <w:highlight w:val="none"/>
          <w:lang w:val="en-US" w:eastAsia="zh-CN" w:bidi="ar-SA"/>
        </w:rPr>
        <w:t>10.联系方式</w:t>
      </w:r>
      <w:bookmarkEnd w:id="13"/>
    </w:p>
    <w:p w14:paraId="15798D0E">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10.1采购人信息</w:t>
      </w:r>
    </w:p>
    <w:p w14:paraId="53F57CE5">
      <w:pPr>
        <w:keepNext w:val="0"/>
        <w:keepLines w:val="0"/>
        <w:pageBreakBefore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u w:val="single"/>
          <w:lang w:eastAsia="zh-CN"/>
        </w:rPr>
      </w:pP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lang w:eastAsia="zh-CN"/>
        </w:rPr>
        <w:t>赣州旅投景区管理集团有限公司</w:t>
      </w:r>
    </w:p>
    <w:p w14:paraId="33EAFB4C">
      <w:pPr>
        <w:keepNext w:val="0"/>
        <w:keepLines w:val="0"/>
        <w:pageBreakBefore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u w:val="single"/>
          <w:lang w:val="en-US" w:eastAsia="zh-CN"/>
        </w:rPr>
        <w:t>江西省赣州市章贡区江南宋城历史文化旅游区百家岭8号1楼会议室</w:t>
      </w:r>
    </w:p>
    <w:p w14:paraId="443A100E">
      <w:pPr>
        <w:keepNext w:val="0"/>
        <w:keepLines w:val="0"/>
        <w:pageBreakBefore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u w:val="none"/>
        </w:rPr>
        <w:t>联系</w:t>
      </w:r>
      <w:r>
        <w:rPr>
          <w:rFonts w:hint="eastAsia" w:ascii="仿宋" w:hAnsi="仿宋" w:eastAsia="仿宋" w:cs="仿宋"/>
          <w:color w:val="auto"/>
          <w:sz w:val="24"/>
          <w:szCs w:val="24"/>
          <w:highlight w:val="none"/>
          <w:u w:val="none"/>
          <w:lang w:val="en-US" w:eastAsia="zh-CN"/>
        </w:rPr>
        <w:t>人及联系</w:t>
      </w:r>
      <w:r>
        <w:rPr>
          <w:rFonts w:hint="eastAsia" w:ascii="仿宋" w:hAnsi="仿宋" w:eastAsia="仿宋" w:cs="仿宋"/>
          <w:color w:val="auto"/>
          <w:sz w:val="24"/>
          <w:szCs w:val="24"/>
          <w:highlight w:val="none"/>
          <w:u w:val="none"/>
        </w:rPr>
        <w:t>方式：</w:t>
      </w:r>
      <w:r>
        <w:rPr>
          <w:rFonts w:hint="eastAsia" w:ascii="仿宋" w:hAnsi="仿宋" w:eastAsia="仿宋" w:cs="仿宋"/>
          <w:color w:val="auto"/>
          <w:sz w:val="24"/>
          <w:szCs w:val="24"/>
          <w:highlight w:val="none"/>
          <w:u w:val="single"/>
          <w:lang w:val="en-US" w:eastAsia="zh-CN"/>
        </w:rPr>
        <w:t xml:space="preserve"> 汤俊 18070374336 </w:t>
      </w:r>
    </w:p>
    <w:p w14:paraId="3ED2BAD9">
      <w:pPr>
        <w:pStyle w:val="14"/>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10.2监督部门及联系方式</w:t>
      </w:r>
    </w:p>
    <w:p w14:paraId="6BC6DF63">
      <w:pPr>
        <w:pStyle w:val="14"/>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监督部门：</w:t>
      </w:r>
      <w:r>
        <w:rPr>
          <w:rFonts w:hint="eastAsia" w:ascii="仿宋" w:hAnsi="仿宋" w:eastAsia="仿宋" w:cs="仿宋"/>
          <w:color w:val="auto"/>
          <w:sz w:val="24"/>
          <w:szCs w:val="24"/>
          <w:highlight w:val="none"/>
          <w:u w:val="single"/>
        </w:rPr>
        <w:t>赣州市纪委市监委驻旅投集团纪检监察组</w:t>
      </w:r>
    </w:p>
    <w:p w14:paraId="571540A7">
      <w:pPr>
        <w:pStyle w:val="14"/>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u w:val="single"/>
        </w:rPr>
        <w:t>江西省赣州市章贡区赣江源大道15号</w:t>
      </w:r>
    </w:p>
    <w:p w14:paraId="5429D8A4">
      <w:pPr>
        <w:pStyle w:val="14"/>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Cs/>
          <w:color w:val="auto"/>
          <w:sz w:val="24"/>
          <w:szCs w:val="24"/>
          <w:highlight w:val="none"/>
          <w:u w:val="single"/>
          <w:lang w:val="en-US" w:eastAsia="zh-CN"/>
        </w:rPr>
      </w:pPr>
      <w:r>
        <w:rPr>
          <w:rFonts w:hint="eastAsia" w:ascii="仿宋" w:hAnsi="仿宋" w:eastAsia="仿宋" w:cs="仿宋"/>
          <w:bCs/>
          <w:color w:val="auto"/>
          <w:sz w:val="24"/>
          <w:szCs w:val="24"/>
          <w:highlight w:val="none"/>
        </w:rPr>
        <w:t>电话：</w:t>
      </w:r>
      <w:r>
        <w:rPr>
          <w:rFonts w:hint="eastAsia" w:ascii="仿宋" w:hAnsi="仿宋" w:eastAsia="仿宋" w:cs="仿宋"/>
          <w:bCs/>
          <w:color w:val="auto"/>
          <w:sz w:val="24"/>
          <w:szCs w:val="24"/>
          <w:highlight w:val="none"/>
          <w:u w:val="single"/>
        </w:rPr>
        <w:t>0797-</w:t>
      </w:r>
      <w:r>
        <w:rPr>
          <w:rFonts w:hint="eastAsia" w:ascii="仿宋" w:hAnsi="仿宋" w:eastAsia="仿宋" w:cs="仿宋"/>
          <w:bCs/>
          <w:color w:val="auto"/>
          <w:sz w:val="24"/>
          <w:szCs w:val="24"/>
          <w:highlight w:val="none"/>
          <w:u w:val="single"/>
          <w:lang w:val="en-US" w:eastAsia="zh-CN"/>
        </w:rPr>
        <w:t>5550580</w:t>
      </w:r>
      <w:bookmarkStart w:id="85" w:name="_GoBack"/>
      <w:bookmarkEnd w:id="85"/>
    </w:p>
    <w:p w14:paraId="630046FB">
      <w:pPr>
        <w:pStyle w:val="14"/>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Cs/>
          <w:color w:val="auto"/>
          <w:sz w:val="24"/>
          <w:szCs w:val="24"/>
          <w:highlight w:val="none"/>
          <w:u w:val="single"/>
          <w:lang w:val="en-US" w:eastAsia="zh-CN"/>
        </w:rPr>
      </w:pPr>
    </w:p>
    <w:p w14:paraId="66F52021">
      <w:pPr>
        <w:pStyle w:val="14"/>
        <w:keepNext w:val="0"/>
        <w:keepLines w:val="0"/>
        <w:pageBreakBefore w:val="0"/>
        <w:kinsoku/>
        <w:wordWrap/>
        <w:overflowPunct/>
        <w:topLinePunct w:val="0"/>
        <w:autoSpaceDE/>
        <w:autoSpaceDN/>
        <w:bidi w:val="0"/>
        <w:adjustRightInd/>
        <w:snapToGrid/>
        <w:spacing w:line="500" w:lineRule="exact"/>
        <w:ind w:firstLine="480" w:firstLineChars="200"/>
        <w:jc w:val="right"/>
        <w:textAlignment w:val="auto"/>
        <w:rPr>
          <w:rFonts w:hint="eastAsia" w:ascii="仿宋" w:hAnsi="仿宋" w:eastAsia="仿宋" w:cs="仿宋"/>
          <w:bCs/>
          <w:color w:val="auto"/>
          <w:sz w:val="24"/>
          <w:szCs w:val="24"/>
          <w:highlight w:val="none"/>
          <w:u w:val="none"/>
          <w:lang w:val="en-US" w:eastAsia="zh-CN"/>
        </w:rPr>
        <w:sectPr>
          <w:footerReference r:id="rId4" w:type="default"/>
          <w:pgSz w:w="11906" w:h="16838"/>
          <w:pgMar w:top="1440" w:right="1800" w:bottom="1440" w:left="1800" w:header="851" w:footer="992" w:gutter="0"/>
          <w:pgNumType w:start="1"/>
          <w:cols w:space="720" w:num="1"/>
          <w:docGrid w:type="lines" w:linePitch="312" w:charSpace="0"/>
        </w:sectPr>
      </w:pPr>
      <w:r>
        <w:rPr>
          <w:rFonts w:hint="eastAsia" w:ascii="仿宋" w:hAnsi="仿宋" w:eastAsia="仿宋" w:cs="仿宋"/>
          <w:bCs/>
          <w:color w:val="auto"/>
          <w:sz w:val="24"/>
          <w:szCs w:val="24"/>
          <w:highlight w:val="none"/>
          <w:u w:val="single"/>
          <w:lang w:val="en-US" w:eastAsia="zh-CN"/>
        </w:rPr>
        <w:t>2026</w:t>
      </w:r>
      <w:r>
        <w:rPr>
          <w:rFonts w:hint="eastAsia" w:ascii="仿宋" w:hAnsi="仿宋" w:eastAsia="仿宋" w:cs="仿宋"/>
          <w:bCs/>
          <w:color w:val="auto"/>
          <w:sz w:val="24"/>
          <w:szCs w:val="24"/>
          <w:highlight w:val="none"/>
          <w:u w:val="none"/>
          <w:lang w:val="en-US" w:eastAsia="zh-CN"/>
        </w:rPr>
        <w:t>年</w:t>
      </w:r>
      <w:r>
        <w:rPr>
          <w:rFonts w:hint="eastAsia" w:ascii="仿宋" w:hAnsi="仿宋" w:eastAsia="仿宋" w:cs="仿宋"/>
          <w:bCs/>
          <w:color w:val="auto"/>
          <w:sz w:val="24"/>
          <w:szCs w:val="24"/>
          <w:highlight w:val="none"/>
          <w:u w:val="single"/>
          <w:lang w:val="en-US" w:eastAsia="zh-CN"/>
        </w:rPr>
        <w:t>10</w:t>
      </w:r>
      <w:r>
        <w:rPr>
          <w:rFonts w:hint="eastAsia" w:ascii="仿宋" w:hAnsi="仿宋" w:eastAsia="仿宋" w:cs="仿宋"/>
          <w:bCs/>
          <w:color w:val="auto"/>
          <w:sz w:val="24"/>
          <w:szCs w:val="24"/>
          <w:highlight w:val="none"/>
          <w:u w:val="none"/>
          <w:lang w:val="en-US" w:eastAsia="zh-CN"/>
        </w:rPr>
        <w:t>月</w:t>
      </w:r>
      <w:r>
        <w:rPr>
          <w:rFonts w:hint="eastAsia" w:ascii="仿宋" w:hAnsi="仿宋" w:eastAsia="仿宋" w:cs="仿宋"/>
          <w:bCs/>
          <w:color w:val="auto"/>
          <w:sz w:val="24"/>
          <w:szCs w:val="24"/>
          <w:highlight w:val="none"/>
          <w:u w:val="single"/>
          <w:lang w:val="en-US" w:eastAsia="zh-CN"/>
        </w:rPr>
        <w:t>10</w:t>
      </w:r>
      <w:r>
        <w:rPr>
          <w:rFonts w:hint="eastAsia" w:ascii="仿宋" w:hAnsi="仿宋" w:eastAsia="仿宋" w:cs="仿宋"/>
          <w:bCs/>
          <w:color w:val="auto"/>
          <w:sz w:val="24"/>
          <w:szCs w:val="24"/>
          <w:highlight w:val="none"/>
          <w:u w:val="none"/>
          <w:lang w:val="en-US" w:eastAsia="zh-CN"/>
        </w:rPr>
        <w:t>日</w:t>
      </w:r>
    </w:p>
    <w:p w14:paraId="0ECE3374">
      <w:pPr>
        <w:keepNext w:val="0"/>
        <w:keepLines w:val="0"/>
        <w:pageBreakBefore w:val="0"/>
        <w:widowControl w:val="0"/>
        <w:kinsoku/>
        <w:wordWrap/>
        <w:overflowPunct/>
        <w:topLinePunct w:val="0"/>
        <w:autoSpaceDE/>
        <w:autoSpaceDN/>
        <w:bidi w:val="0"/>
        <w:adjustRightInd/>
        <w:snapToGrid/>
        <w:spacing w:after="200" w:line="520" w:lineRule="exact"/>
        <w:jc w:val="center"/>
        <w:textAlignment w:val="auto"/>
        <w:outlineLvl w:val="1"/>
        <w:rPr>
          <w:rFonts w:hint="eastAsia" w:ascii="仿宋" w:hAnsi="仿宋" w:eastAsia="仿宋" w:cs="仿宋"/>
          <w:b/>
          <w:bCs/>
          <w:color w:val="auto"/>
          <w:sz w:val="44"/>
          <w:szCs w:val="44"/>
          <w:highlight w:val="none"/>
        </w:rPr>
      </w:pPr>
      <w:bookmarkStart w:id="14" w:name="投标人须知"/>
      <w:bookmarkStart w:id="15" w:name="_Toc10828"/>
      <w:r>
        <w:rPr>
          <w:rFonts w:hint="eastAsia" w:ascii="仿宋" w:hAnsi="仿宋" w:eastAsia="仿宋" w:cs="仿宋"/>
          <w:b/>
          <w:bCs/>
          <w:color w:val="auto"/>
          <w:sz w:val="44"/>
          <w:szCs w:val="44"/>
          <w:highlight w:val="none"/>
        </w:rPr>
        <w:t>第二</w:t>
      </w:r>
      <w:r>
        <w:rPr>
          <w:rFonts w:hint="eastAsia" w:ascii="仿宋" w:hAnsi="仿宋" w:eastAsia="仿宋" w:cs="仿宋"/>
          <w:b/>
          <w:bCs/>
          <w:color w:val="auto"/>
          <w:sz w:val="44"/>
          <w:szCs w:val="44"/>
          <w:highlight w:val="none"/>
          <w:lang w:val="en-US" w:eastAsia="zh-CN"/>
        </w:rPr>
        <w:t>章</w:t>
      </w:r>
      <w:r>
        <w:rPr>
          <w:rFonts w:hint="eastAsia" w:ascii="仿宋" w:hAnsi="仿宋" w:eastAsia="仿宋" w:cs="仿宋"/>
          <w:b/>
          <w:bCs/>
          <w:color w:val="auto"/>
          <w:sz w:val="44"/>
          <w:szCs w:val="44"/>
          <w:highlight w:val="none"/>
        </w:rPr>
        <w:t xml:space="preserve">  </w:t>
      </w:r>
      <w:r>
        <w:rPr>
          <w:rFonts w:hint="eastAsia" w:ascii="仿宋" w:hAnsi="仿宋" w:eastAsia="仿宋" w:cs="仿宋"/>
          <w:b/>
          <w:bCs/>
          <w:color w:val="auto"/>
          <w:sz w:val="44"/>
          <w:szCs w:val="44"/>
          <w:highlight w:val="none"/>
          <w:lang w:val="en-US" w:eastAsia="zh-CN"/>
        </w:rPr>
        <w:t>供应商</w:t>
      </w:r>
      <w:r>
        <w:rPr>
          <w:rFonts w:hint="eastAsia" w:ascii="仿宋" w:hAnsi="仿宋" w:eastAsia="仿宋" w:cs="仿宋"/>
          <w:b/>
          <w:bCs/>
          <w:color w:val="auto"/>
          <w:sz w:val="44"/>
          <w:szCs w:val="44"/>
          <w:highlight w:val="none"/>
        </w:rPr>
        <w:t>须知</w:t>
      </w:r>
      <w:bookmarkEnd w:id="14"/>
      <w:bookmarkEnd w:id="15"/>
    </w:p>
    <w:p w14:paraId="6A89E4F4">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16" w:name="_Toc26965"/>
      <w:bookmarkStart w:id="17" w:name="投标格式"/>
      <w:r>
        <w:rPr>
          <w:rFonts w:hint="eastAsia" w:ascii="仿宋" w:hAnsi="仿宋" w:eastAsia="仿宋" w:cs="仿宋"/>
          <w:b/>
          <w:color w:val="auto"/>
          <w:kern w:val="0"/>
          <w:sz w:val="24"/>
          <w:szCs w:val="24"/>
          <w:highlight w:val="none"/>
          <w:lang w:val="en-US" w:eastAsia="zh-CN" w:bidi="ar-SA"/>
        </w:rPr>
        <w:t>1.采购项目概况</w:t>
      </w:r>
      <w:bookmarkEnd w:id="16"/>
    </w:p>
    <w:p w14:paraId="35000729">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1.1</w:t>
      </w:r>
      <w:r>
        <w:rPr>
          <w:rFonts w:hint="eastAsia" w:ascii="仿宋" w:hAnsi="仿宋" w:eastAsia="仿宋" w:cs="仿宋"/>
          <w:color w:val="auto"/>
          <w:sz w:val="24"/>
          <w:szCs w:val="24"/>
          <w:highlight w:val="none"/>
          <w:lang w:eastAsia="zh-CN"/>
        </w:rPr>
        <w:t>采购</w:t>
      </w:r>
      <w:r>
        <w:rPr>
          <w:rFonts w:hint="eastAsia" w:ascii="仿宋" w:hAnsi="仿宋" w:eastAsia="仿宋" w:cs="仿宋"/>
          <w:color w:val="auto"/>
          <w:sz w:val="24"/>
          <w:szCs w:val="24"/>
          <w:highlight w:val="none"/>
        </w:rPr>
        <w:t>人：</w:t>
      </w:r>
      <w:r>
        <w:rPr>
          <w:rFonts w:hint="eastAsia" w:ascii="仿宋" w:hAnsi="仿宋" w:eastAsia="仿宋" w:cs="仿宋"/>
          <w:color w:val="auto"/>
          <w:sz w:val="24"/>
          <w:szCs w:val="24"/>
          <w:highlight w:val="none"/>
          <w:u w:val="none"/>
          <w:lang w:eastAsia="zh-CN"/>
        </w:rPr>
        <w:t>赣州旅投景区管理集团有限公司</w:t>
      </w:r>
    </w:p>
    <w:p w14:paraId="67205317">
      <w:pPr>
        <w:keepNext w:val="0"/>
        <w:keepLines w:val="0"/>
        <w:pageBreakBefore w:val="0"/>
        <w:numPr>
          <w:ilvl w:val="-1"/>
          <w:numId w:val="0"/>
        </w:numPr>
        <w:kinsoku/>
        <w:wordWrap/>
        <w:overflowPunct/>
        <w:topLinePunct w:val="0"/>
        <w:autoSpaceDE/>
        <w:autoSpaceDN/>
        <w:bidi w:val="0"/>
        <w:adjustRightInd/>
        <w:snapToGrid/>
        <w:spacing w:line="500" w:lineRule="exact"/>
        <w:ind w:firstLine="480"/>
        <w:jc w:val="left"/>
        <w:textAlignment w:val="auto"/>
        <w:rPr>
          <w:rFonts w:hint="eastAsia" w:ascii="仿宋" w:hAnsi="仿宋" w:eastAsia="仿宋" w:cs="仿宋"/>
          <w:b/>
          <w:color w:val="auto"/>
          <w:kern w:val="0"/>
          <w:sz w:val="24"/>
          <w:szCs w:val="24"/>
          <w:highlight w:val="none"/>
          <w:lang w:val="en-US" w:eastAsia="zh-CN" w:bidi="ar-SA"/>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采购</w:t>
      </w: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lang w:eastAsia="zh-CN"/>
        </w:rPr>
        <w:t>赣州旅投景区管理集团有限公司食堂2026-2027年度食材供应</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框架协议供应商入围征集项目。</w:t>
      </w:r>
    </w:p>
    <w:p w14:paraId="4A7F9149">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18" w:name="_Toc5259"/>
      <w:r>
        <w:rPr>
          <w:rFonts w:hint="eastAsia" w:ascii="仿宋" w:hAnsi="仿宋" w:eastAsia="仿宋" w:cs="仿宋"/>
          <w:b/>
          <w:color w:val="auto"/>
          <w:kern w:val="0"/>
          <w:sz w:val="24"/>
          <w:szCs w:val="24"/>
          <w:highlight w:val="none"/>
          <w:lang w:val="en-US" w:eastAsia="zh-CN" w:bidi="ar-SA"/>
        </w:rPr>
        <w:t>2.采购范围、交货期、交货地点和质量标准</w:t>
      </w:r>
      <w:bookmarkEnd w:id="18"/>
      <w:r>
        <w:rPr>
          <w:rFonts w:hint="eastAsia" w:ascii="仿宋" w:hAnsi="仿宋" w:eastAsia="仿宋" w:cs="仿宋"/>
          <w:b/>
          <w:color w:val="auto"/>
          <w:kern w:val="0"/>
          <w:sz w:val="24"/>
          <w:szCs w:val="24"/>
          <w:highlight w:val="none"/>
          <w:lang w:val="en-US" w:eastAsia="zh-CN" w:bidi="ar-SA"/>
        </w:rPr>
        <w:t xml:space="preserve"> </w:t>
      </w:r>
    </w:p>
    <w:p w14:paraId="7C54993D">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2.1采购范围：根据采购人要求提供食堂食材供应、配送及售后等服务。本项目配送服务种类包含但不限于米、面、粮油类、干货调料、肉类、蔬菜、水果、水产、蛋、奶、副食品类等，具体详见【附件2：采购清单】。 </w:t>
      </w:r>
    </w:p>
    <w:p w14:paraId="76F9FDA2">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val="0"/>
          <w:bCs w:val="0"/>
          <w:color w:val="auto"/>
          <w:sz w:val="24"/>
          <w:szCs w:val="24"/>
          <w:highlight w:val="none"/>
          <w:lang w:val="en-US" w:eastAsia="zh-CN"/>
        </w:rPr>
      </w:pPr>
      <w:r>
        <w:rPr>
          <w:rFonts w:ascii="仿宋" w:hAnsi="仿宋" w:eastAsia="仿宋"/>
          <w:b/>
          <w:bCs/>
          <w:color w:val="auto"/>
          <w:sz w:val="24"/>
          <w:highlight w:val="none"/>
        </w:rPr>
        <w:t>【重点标注】</w:t>
      </w:r>
      <w:r>
        <w:rPr>
          <w:rFonts w:ascii="仿宋" w:hAnsi="仿宋" w:eastAsia="仿宋"/>
          <w:color w:val="auto"/>
          <w:sz w:val="24"/>
          <w:highlight w:val="none"/>
        </w:rPr>
        <w:t>本项目采购范围包含团购产品（如赣南特色食品、牛奶、纸巾、粮油、水果等，约一季度进行一次团购），其采购金额约占采购总额的31%，团购产品应优先选用市场认可度高的知名品牌，例如：食用油品牌选用鲁花；牛奶品牌选用伊利、蒙牛或欧亚；纸巾品牌选用心相印或维达；其他团购产品也应选用相应品类中的知名品牌。</w:t>
      </w:r>
      <w:r>
        <w:rPr>
          <w:rFonts w:ascii="仿宋" w:hAnsi="仿宋" w:eastAsia="仿宋"/>
          <w:b w:val="0"/>
          <w:bCs w:val="0"/>
          <w:color w:val="auto"/>
          <w:sz w:val="24"/>
          <w:highlight w:val="none"/>
        </w:rPr>
        <w:t>详细情况供应商</w:t>
      </w:r>
      <w:r>
        <w:rPr>
          <w:rFonts w:hint="eastAsia" w:ascii="仿宋" w:hAnsi="仿宋" w:eastAsia="仿宋"/>
          <w:b w:val="0"/>
          <w:bCs w:val="0"/>
          <w:color w:val="auto"/>
          <w:sz w:val="24"/>
          <w:highlight w:val="none"/>
          <w:lang w:val="en-US" w:eastAsia="zh-CN"/>
        </w:rPr>
        <w:t>可以</w:t>
      </w:r>
      <w:r>
        <w:rPr>
          <w:rFonts w:ascii="仿宋" w:hAnsi="仿宋" w:eastAsia="仿宋"/>
          <w:b w:val="0"/>
          <w:bCs w:val="0"/>
          <w:color w:val="auto"/>
          <w:sz w:val="24"/>
          <w:highlight w:val="none"/>
        </w:rPr>
        <w:t>与采购人电话联系或现场踏勘确认。供应商须具备上述团购产品的稳定供应能力，确保所供团购产品质量合格、价格合理、品类齐全，并按采购人要求及时、足量配送；团购产品的报价及结算按3KM范围内各超市特价售价并取最低执行，不再另行下浮。</w:t>
      </w:r>
    </w:p>
    <w:p w14:paraId="6B40F971">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 服务期限：服务期1年，按合同签订之日起12个日历月计算。</w:t>
      </w:r>
    </w:p>
    <w:p w14:paraId="400B9266">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 xml:space="preserve">2.3 交货地点：江南宋城景区（公司食堂）。 </w:t>
      </w:r>
    </w:p>
    <w:p w14:paraId="50226577">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 食品验收标准</w:t>
      </w:r>
    </w:p>
    <w:p w14:paraId="334B8AC8">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2.4.1粮油类</w:t>
      </w:r>
    </w:p>
    <w:p w14:paraId="1767F54F">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（1）供应产品的质量要求：</w:t>
      </w:r>
    </w:p>
    <w:p w14:paraId="190BEC35">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①米、油、面粉、豆类货物需符合卫生</w:t>
      </w:r>
      <w:r>
        <w:rPr>
          <w:rFonts w:hint="eastAsia" w:ascii="仿宋" w:hAnsi="仿宋" w:eastAsia="仿宋" w:cs="仿宋"/>
          <w:b w:val="0"/>
          <w:bCs w:val="0"/>
          <w:color w:val="auto"/>
          <w:sz w:val="24"/>
          <w:szCs w:val="24"/>
          <w:highlight w:val="none"/>
          <w:lang w:val="en-US" w:eastAsia="zh-CN"/>
        </w:rPr>
        <w:t>要求，不得有腐烂、变质、油脂酸败、霉变、生虫、污秽不洁、混有异物或者其他感官性状异常，可能对人体健康有害的物质。</w:t>
      </w:r>
    </w:p>
    <w:p w14:paraId="39D56A9B">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②米、油：要提供食品生产许可证（SC）、国家机关发出的产品检验合格证书。</w:t>
      </w:r>
    </w:p>
    <w:p w14:paraId="3ED180A8">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③包装食品：包装箱完整，同时包装箱要印有注册商标、生产厂家名称、厂址、出厂日期、产品合格证、保质期限、产品成分、厂家电话号码。</w:t>
      </w:r>
    </w:p>
    <w:p w14:paraId="670D13D4">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④散装豆类：提供生产厂家营业执照、食品生产许可证、国家机关发出的产品检验合格证书。</w:t>
      </w:r>
    </w:p>
    <w:p w14:paraId="13A9DCBA">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ascii="仿宋" w:hAnsi="仿宋" w:eastAsia="仿宋"/>
          <w:b w:val="0"/>
          <w:bCs w:val="0"/>
          <w:color w:val="auto"/>
          <w:sz w:val="24"/>
          <w:highlight w:val="none"/>
        </w:rPr>
        <w:t>⑤供应商所提供产品质量</w:t>
      </w:r>
      <w:r>
        <w:rPr>
          <w:rFonts w:hint="eastAsia" w:ascii="仿宋" w:hAnsi="仿宋" w:eastAsia="仿宋"/>
          <w:b w:val="0"/>
          <w:bCs w:val="0"/>
          <w:color w:val="auto"/>
          <w:sz w:val="24"/>
          <w:highlight w:val="none"/>
          <w:lang w:eastAsia="zh-CN"/>
        </w:rPr>
        <w:t>须</w:t>
      </w:r>
      <w:r>
        <w:rPr>
          <w:rFonts w:ascii="仿宋" w:hAnsi="仿宋" w:eastAsia="仿宋"/>
          <w:b w:val="0"/>
          <w:bCs w:val="0"/>
          <w:color w:val="auto"/>
          <w:sz w:val="24"/>
          <w:highlight w:val="none"/>
        </w:rPr>
        <w:t>符合行业标准要求，不得有掺假、变质、变味、过期等现象出现，严禁伪劣、假冒、无证不合格物品进入仓库。</w:t>
      </w:r>
    </w:p>
    <w:p w14:paraId="6CF5C4FA">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⑥供应商在供应过程中，如果发生出现质量问题或造成食物中毒，如变质等情况，经查实后确属供应方责任，供应商应承担全部责任，主要包括食物中毒人员医疗费、误工费、事故处理费等，直至追究刑事责任。</w:t>
      </w:r>
    </w:p>
    <w:p w14:paraId="08F7B147">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（2）执行标准：</w:t>
      </w:r>
    </w:p>
    <w:p w14:paraId="5F1BCCC6">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①大米品种要求为标准一级米，不含添加剂。</w:t>
      </w:r>
    </w:p>
    <w:p w14:paraId="28E03877">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②米类执行标准：GB/T1354-2018、GB2715-2016、GB2763-2026</w:t>
      </w:r>
    </w:p>
    <w:p w14:paraId="18AB3D7A">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③大米的质量标准：除符合标准一级米外，要求：碎米总量≤15%（国家标准：≤15%），小碎米总量≤1%（国家标准：≤1%），不完善粒≤3%（国家标准：≤3%）。</w:t>
      </w:r>
    </w:p>
    <w:p w14:paraId="6F268F75">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④油类执行标准：</w:t>
      </w:r>
    </w:p>
    <w:p w14:paraId="023D39B4">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大豆油：GB/T1535-2026</w:t>
      </w:r>
    </w:p>
    <w:p w14:paraId="55FEF10E">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花生油：GB/T1534-2026</w:t>
      </w:r>
    </w:p>
    <w:p w14:paraId="744104F4">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葵花籽油：GB/T10464-2026</w:t>
      </w:r>
    </w:p>
    <w:p w14:paraId="00F90D8C">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棉籽油：GB/T1537-2019</w:t>
      </w:r>
    </w:p>
    <w:p w14:paraId="47D16D49">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油茶籽油：GB/T11765-2018（注：GB/T11765-2026将于2026年11月1日实施，实施后自动执行新标准）</w:t>
      </w:r>
    </w:p>
    <w:p w14:paraId="07F4969A">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玉米油：GB/T19111-2026</w:t>
      </w:r>
    </w:p>
    <w:p w14:paraId="7EC19B9B">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米糠油：GB/T19112-2003（注：GB/T19112-2026将于2026年12月1日实施，实施后自动执行新标准）</w:t>
      </w:r>
    </w:p>
    <w:p w14:paraId="4E8177EE">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⑤油类质量要求：</w:t>
      </w:r>
    </w:p>
    <w:p w14:paraId="52D8D5A1">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ascii="仿宋" w:hAnsi="仿宋" w:eastAsia="仿宋"/>
          <w:b w:val="0"/>
          <w:bCs w:val="0"/>
          <w:color w:val="auto"/>
          <w:sz w:val="24"/>
          <w:highlight w:val="none"/>
        </w:rPr>
        <w:t>食用油品种须色泽好，透明度高，无浑浊，无沉淀和悬浮物，粘度小，无分层现象，气味正常，无酸臭异味。严格执行国家相关质量标准及卫生安全标准，色泽、气味、霉变、真菌毒素、重金属污染物、农药等严格控制在国家标准范围内。并根据用户需求的食用油等级保质保量完成供货。要求提供的食用油生产厂家信誉良好，有明确的商品标签，有生产日期、保质期、质量等级，并标明初制油的加工工艺（即用浸出法生产，还是用压榨法生产的）和是否用转基因油料生产，不许以次充好、以假充真。如将毛油当一级或二级油进行销售，将低价位的植物油掺入高价位植物油中进行销售，牟取暴利，一经查处，供应商将承担全部责任。</w:t>
      </w:r>
    </w:p>
    <w:p w14:paraId="7D1E3701">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2.4.2瓜果蔬菜、辅料、佐料</w:t>
      </w:r>
    </w:p>
    <w:p w14:paraId="4778336F">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ascii="仿宋" w:hAnsi="仿宋" w:eastAsia="仿宋"/>
          <w:b w:val="0"/>
          <w:bCs w:val="0"/>
          <w:color w:val="auto"/>
          <w:sz w:val="24"/>
          <w:highlight w:val="none"/>
        </w:rPr>
        <w:t>（1）供应产品的质量要求：辅料、佐料类需为正规厂家的产品，瓜、果、蔬菜须是优质货品，不得含有残留农药或污染物，供应商须保证所供应的蔬菜符合卫生质量标准，同时承担因所供蔬菜问题引起的一切事故后果。卫生质量指标，应符合我国无公害蔬菜的卫生指标规定。</w:t>
      </w:r>
    </w:p>
    <w:tbl>
      <w:tblPr>
        <w:tblStyle w:val="74"/>
        <w:tblW w:w="8284" w:type="dxa"/>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0" w:type="dxa"/>
          <w:bottom w:w="0" w:type="dxa"/>
          <w:right w:w="0" w:type="dxa"/>
        </w:tblCellMar>
      </w:tblPr>
      <w:tblGrid>
        <w:gridCol w:w="3518"/>
        <w:gridCol w:w="4766"/>
      </w:tblGrid>
      <w:tr w14:paraId="4E56E42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0" w:hRule="atLeast"/>
          <w:tblHeader/>
          <w:jc w:val="center"/>
        </w:trPr>
        <w:tc>
          <w:tcPr>
            <w:tcW w:w="0" w:type="auto"/>
            <w:tcBorders>
              <w:top w:val="single" w:color="auto" w:sz="12" w:space="0"/>
              <w:left w:val="nil"/>
              <w:bottom w:val="nil"/>
              <w:right w:val="nil"/>
            </w:tcBorders>
            <w:noWrap w:val="0"/>
            <w:tcMar>
              <w:top w:w="-1" w:type="dxa"/>
              <w:left w:w="-1" w:type="dxa"/>
              <w:bottom w:w="-1" w:type="dxa"/>
              <w:right w:w="-1" w:type="dxa"/>
            </w:tcMar>
            <w:vAlign w:val="center"/>
          </w:tcPr>
          <w:p w14:paraId="233E6440">
            <w:pPr>
              <w:pStyle w:val="73"/>
              <w:snapToGrid w:val="0"/>
              <w:spacing w:before="152" w:line="240" w:lineRule="auto"/>
              <w:ind w:left="0" w:leftChars="0" w:right="0" w:rightChars="0" w:firstLine="0" w:firstLineChars="0"/>
              <w:jc w:val="center"/>
              <w:rPr>
                <w:rFonts w:hint="eastAsia" w:ascii="仿宋" w:hAnsi="仿宋" w:eastAsia="仿宋" w:cs="仿宋"/>
                <w:b/>
                <w:color w:val="auto"/>
                <w:sz w:val="24"/>
                <w:szCs w:val="24"/>
                <w:highlight w:val="none"/>
              </w:rPr>
            </w:pPr>
            <w:r>
              <w:rPr>
                <w:rFonts w:hint="eastAsia" w:ascii="仿宋" w:hAnsi="仿宋" w:eastAsia="仿宋" w:cs="仿宋"/>
                <w:b/>
                <w:bCs/>
                <w:color w:val="auto"/>
                <w:spacing w:val="-10"/>
                <w:sz w:val="24"/>
                <w:szCs w:val="24"/>
                <w:highlight w:val="none"/>
              </w:rPr>
              <w:t>项目</w:t>
            </w:r>
          </w:p>
        </w:tc>
        <w:tc>
          <w:tcPr>
            <w:tcW w:w="4766" w:type="dxa"/>
            <w:tcBorders>
              <w:top w:val="single" w:color="auto" w:sz="12" w:space="0"/>
              <w:left w:val="nil"/>
              <w:bottom w:val="nil"/>
              <w:right w:val="nil"/>
            </w:tcBorders>
            <w:noWrap w:val="0"/>
            <w:tcMar>
              <w:top w:w="-1" w:type="dxa"/>
              <w:left w:w="-1" w:type="dxa"/>
              <w:bottom w:w="-1" w:type="dxa"/>
              <w:right w:w="-1" w:type="dxa"/>
            </w:tcMar>
            <w:vAlign w:val="center"/>
          </w:tcPr>
          <w:p w14:paraId="6F8B6956">
            <w:pPr>
              <w:pStyle w:val="73"/>
              <w:snapToGrid w:val="0"/>
              <w:spacing w:before="143" w:line="240" w:lineRule="auto"/>
              <w:ind w:left="0" w:leftChars="0" w:right="0" w:rightChars="0" w:firstLine="0" w:firstLineChars="0"/>
              <w:jc w:val="center"/>
              <w:rPr>
                <w:rFonts w:hint="eastAsia" w:ascii="仿宋" w:hAnsi="仿宋" w:eastAsia="仿宋" w:cs="仿宋"/>
                <w:b/>
                <w:color w:val="auto"/>
                <w:sz w:val="24"/>
                <w:szCs w:val="24"/>
                <w:highlight w:val="none"/>
              </w:rPr>
            </w:pPr>
            <w:r>
              <w:rPr>
                <w:rFonts w:hint="eastAsia" w:ascii="仿宋" w:hAnsi="仿宋" w:eastAsia="仿宋" w:cs="仿宋"/>
                <w:b/>
                <w:bCs/>
                <w:color w:val="auto"/>
                <w:spacing w:val="5"/>
                <w:sz w:val="24"/>
                <w:szCs w:val="24"/>
                <w:highlight w:val="none"/>
              </w:rPr>
              <w:t>指标</w:t>
            </w:r>
            <w:r>
              <w:rPr>
                <w:rFonts w:hint="eastAsia" w:ascii="仿宋" w:hAnsi="仿宋" w:eastAsia="仿宋" w:cs="仿宋"/>
                <w:b/>
                <w:bCs/>
                <w:color w:val="auto"/>
                <w:spacing w:val="5"/>
                <w:sz w:val="24"/>
                <w:szCs w:val="24"/>
                <w:highlight w:val="none"/>
                <w:lang w:eastAsia="zh-CN"/>
              </w:rPr>
              <w:t>（</w:t>
            </w:r>
            <w:r>
              <w:rPr>
                <w:rFonts w:hint="eastAsia" w:ascii="仿宋" w:hAnsi="仿宋" w:eastAsia="仿宋" w:cs="仿宋"/>
                <w:b/>
                <w:bCs/>
                <w:color w:val="auto"/>
                <w:sz w:val="24"/>
                <w:szCs w:val="24"/>
                <w:highlight w:val="none"/>
              </w:rPr>
              <w:t>mg</w:t>
            </w:r>
            <w:r>
              <w:rPr>
                <w:rFonts w:hint="eastAsia" w:ascii="仿宋" w:hAnsi="仿宋" w:eastAsia="仿宋" w:cs="仿宋"/>
                <w:b/>
                <w:bCs/>
                <w:color w:val="auto"/>
                <w:spacing w:val="5"/>
                <w:sz w:val="24"/>
                <w:szCs w:val="24"/>
                <w:highlight w:val="none"/>
              </w:rPr>
              <w:t>/</w:t>
            </w:r>
            <w:r>
              <w:rPr>
                <w:rFonts w:hint="eastAsia" w:ascii="仿宋" w:hAnsi="仿宋" w:eastAsia="仿宋" w:cs="仿宋"/>
                <w:b/>
                <w:bCs/>
                <w:color w:val="auto"/>
                <w:sz w:val="24"/>
                <w:szCs w:val="24"/>
                <w:highlight w:val="none"/>
              </w:rPr>
              <w:t>kg</w:t>
            </w:r>
            <w:r>
              <w:rPr>
                <w:rFonts w:hint="eastAsia" w:ascii="仿宋" w:hAnsi="仿宋" w:eastAsia="仿宋" w:cs="仿宋"/>
                <w:b/>
                <w:bCs/>
                <w:color w:val="auto"/>
                <w:sz w:val="24"/>
                <w:szCs w:val="24"/>
                <w:highlight w:val="none"/>
                <w:lang w:eastAsia="zh-CN"/>
              </w:rPr>
              <w:t>）</w:t>
            </w:r>
          </w:p>
        </w:tc>
      </w:tr>
      <w:tr w14:paraId="35EB7FC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nil"/>
              <w:bottom w:val="nil"/>
              <w:right w:val="nil"/>
            </w:tcBorders>
            <w:noWrap w:val="0"/>
            <w:tcMar>
              <w:top w:w="-1" w:type="dxa"/>
              <w:left w:w="-1" w:type="dxa"/>
              <w:bottom w:w="-1" w:type="dxa"/>
              <w:right w:w="-1" w:type="dxa"/>
            </w:tcMar>
            <w:vAlign w:val="center"/>
          </w:tcPr>
          <w:p w14:paraId="55F51F60">
            <w:pPr>
              <w:pStyle w:val="73"/>
              <w:snapToGrid w:val="0"/>
              <w:spacing w:before="111"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甲胺磷</w:t>
            </w:r>
          </w:p>
        </w:tc>
        <w:tc>
          <w:tcPr>
            <w:tcW w:w="4766" w:type="dxa"/>
            <w:tcBorders>
              <w:top w:val="single" w:color="auto" w:sz="4" w:space="0"/>
              <w:left w:val="nil"/>
              <w:bottom w:val="nil"/>
              <w:right w:val="nil"/>
            </w:tcBorders>
            <w:noWrap w:val="0"/>
            <w:tcMar>
              <w:top w:w="-1" w:type="dxa"/>
              <w:left w:w="-1" w:type="dxa"/>
              <w:bottom w:w="-1" w:type="dxa"/>
              <w:right w:w="-1" w:type="dxa"/>
            </w:tcMar>
            <w:vAlign w:val="center"/>
          </w:tcPr>
          <w:p w14:paraId="68EE3D48">
            <w:pPr>
              <w:pStyle w:val="73"/>
              <w:snapToGrid w:val="0"/>
              <w:spacing w:before="111"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不得检出</w:t>
            </w:r>
          </w:p>
        </w:tc>
      </w:tr>
      <w:tr w14:paraId="109BBED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4342D409">
            <w:pPr>
              <w:pStyle w:val="73"/>
              <w:snapToGrid w:val="0"/>
              <w:spacing w:before="112"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甲拌磷</w:t>
            </w:r>
          </w:p>
        </w:tc>
        <w:tc>
          <w:tcPr>
            <w:tcW w:w="4766" w:type="dxa"/>
            <w:tcBorders>
              <w:top w:val="nil"/>
              <w:left w:val="nil"/>
              <w:bottom w:val="nil"/>
              <w:right w:val="nil"/>
            </w:tcBorders>
            <w:noWrap w:val="0"/>
            <w:tcMar>
              <w:top w:w="-1" w:type="dxa"/>
              <w:left w:w="-1" w:type="dxa"/>
              <w:bottom w:w="-1" w:type="dxa"/>
              <w:right w:w="-1" w:type="dxa"/>
            </w:tcMar>
            <w:vAlign w:val="center"/>
          </w:tcPr>
          <w:p w14:paraId="1FE426E4">
            <w:pPr>
              <w:pStyle w:val="73"/>
              <w:snapToGrid w:val="0"/>
              <w:spacing w:before="112"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不得检出</w:t>
            </w:r>
          </w:p>
        </w:tc>
      </w:tr>
      <w:tr w14:paraId="6659D27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5EFC69AB">
            <w:pPr>
              <w:pStyle w:val="73"/>
              <w:snapToGrid w:val="0"/>
              <w:spacing w:before="111"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氧化乐果</w:t>
            </w:r>
          </w:p>
        </w:tc>
        <w:tc>
          <w:tcPr>
            <w:tcW w:w="4766" w:type="dxa"/>
            <w:tcBorders>
              <w:top w:val="nil"/>
              <w:left w:val="nil"/>
              <w:bottom w:val="nil"/>
              <w:right w:val="nil"/>
            </w:tcBorders>
            <w:noWrap w:val="0"/>
            <w:tcMar>
              <w:top w:w="-1" w:type="dxa"/>
              <w:left w:w="-1" w:type="dxa"/>
              <w:bottom w:w="-1" w:type="dxa"/>
              <w:right w:w="-1" w:type="dxa"/>
            </w:tcMar>
            <w:vAlign w:val="center"/>
          </w:tcPr>
          <w:p w14:paraId="430C626C">
            <w:pPr>
              <w:pStyle w:val="73"/>
              <w:snapToGrid w:val="0"/>
              <w:spacing w:before="113"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不得检出</w:t>
            </w:r>
          </w:p>
        </w:tc>
      </w:tr>
      <w:tr w14:paraId="7789B72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0D6CD1C3">
            <w:pPr>
              <w:pStyle w:val="73"/>
              <w:snapToGrid w:val="0"/>
              <w:spacing w:before="113"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甲基对硫磷</w:t>
            </w:r>
          </w:p>
        </w:tc>
        <w:tc>
          <w:tcPr>
            <w:tcW w:w="4766" w:type="dxa"/>
            <w:tcBorders>
              <w:top w:val="nil"/>
              <w:left w:val="nil"/>
              <w:bottom w:val="nil"/>
              <w:right w:val="nil"/>
            </w:tcBorders>
            <w:noWrap w:val="0"/>
            <w:tcMar>
              <w:top w:w="-1" w:type="dxa"/>
              <w:left w:w="-1" w:type="dxa"/>
              <w:bottom w:w="-1" w:type="dxa"/>
              <w:right w:w="-1" w:type="dxa"/>
            </w:tcMar>
            <w:vAlign w:val="center"/>
          </w:tcPr>
          <w:p w14:paraId="5074AE7B">
            <w:pPr>
              <w:pStyle w:val="73"/>
              <w:snapToGrid w:val="0"/>
              <w:spacing w:before="113"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不得检出</w:t>
            </w:r>
          </w:p>
        </w:tc>
      </w:tr>
      <w:tr w14:paraId="05D467A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57B6C372">
            <w:pPr>
              <w:pStyle w:val="73"/>
              <w:snapToGrid w:val="0"/>
              <w:spacing w:before="114"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呋喃丹</w:t>
            </w:r>
          </w:p>
        </w:tc>
        <w:tc>
          <w:tcPr>
            <w:tcW w:w="4766" w:type="dxa"/>
            <w:tcBorders>
              <w:top w:val="nil"/>
              <w:left w:val="nil"/>
              <w:bottom w:val="nil"/>
              <w:right w:val="nil"/>
            </w:tcBorders>
            <w:noWrap w:val="0"/>
            <w:tcMar>
              <w:top w:w="-1" w:type="dxa"/>
              <w:left w:w="-1" w:type="dxa"/>
              <w:bottom w:w="-1" w:type="dxa"/>
              <w:right w:w="-1" w:type="dxa"/>
            </w:tcMar>
            <w:vAlign w:val="center"/>
          </w:tcPr>
          <w:p w14:paraId="6D543CA3">
            <w:pPr>
              <w:pStyle w:val="73"/>
              <w:snapToGrid w:val="0"/>
              <w:spacing w:before="113"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不得检出</w:t>
            </w:r>
          </w:p>
        </w:tc>
      </w:tr>
      <w:tr w14:paraId="3D0B640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1D13D2B4">
            <w:pPr>
              <w:pStyle w:val="73"/>
              <w:snapToGrid w:val="0"/>
              <w:spacing w:before="114"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百菌清</w:t>
            </w:r>
          </w:p>
        </w:tc>
        <w:tc>
          <w:tcPr>
            <w:tcW w:w="4766" w:type="dxa"/>
            <w:tcBorders>
              <w:top w:val="nil"/>
              <w:left w:val="nil"/>
              <w:bottom w:val="nil"/>
              <w:right w:val="nil"/>
            </w:tcBorders>
            <w:noWrap w:val="0"/>
            <w:tcMar>
              <w:top w:w="-1" w:type="dxa"/>
              <w:left w:w="-1" w:type="dxa"/>
              <w:bottom w:w="-1" w:type="dxa"/>
              <w:right w:w="-1" w:type="dxa"/>
            </w:tcMar>
            <w:vAlign w:val="center"/>
          </w:tcPr>
          <w:p w14:paraId="38BDC208">
            <w:pPr>
              <w:pStyle w:val="73"/>
              <w:snapToGrid w:val="0"/>
              <w:spacing w:before="136"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≤1.0</w:t>
            </w:r>
          </w:p>
        </w:tc>
      </w:tr>
      <w:tr w14:paraId="1EE2734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4658DD54">
            <w:pPr>
              <w:pStyle w:val="73"/>
              <w:snapToGrid w:val="0"/>
              <w:spacing w:before="115"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多菌灵</w:t>
            </w:r>
          </w:p>
        </w:tc>
        <w:tc>
          <w:tcPr>
            <w:tcW w:w="4766" w:type="dxa"/>
            <w:tcBorders>
              <w:top w:val="nil"/>
              <w:left w:val="nil"/>
              <w:bottom w:val="nil"/>
              <w:right w:val="nil"/>
            </w:tcBorders>
            <w:noWrap w:val="0"/>
            <w:tcMar>
              <w:top w:w="-1" w:type="dxa"/>
              <w:left w:w="-1" w:type="dxa"/>
              <w:bottom w:w="-1" w:type="dxa"/>
              <w:right w:w="-1" w:type="dxa"/>
            </w:tcMar>
            <w:vAlign w:val="center"/>
          </w:tcPr>
          <w:p w14:paraId="6E8BBA1D">
            <w:pPr>
              <w:pStyle w:val="73"/>
              <w:snapToGrid w:val="0"/>
              <w:spacing w:before="137"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≤0.5</w:t>
            </w:r>
          </w:p>
        </w:tc>
      </w:tr>
      <w:tr w14:paraId="3DB8633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374C0AFB">
            <w:pPr>
              <w:pStyle w:val="73"/>
              <w:snapToGrid w:val="0"/>
              <w:spacing w:before="107"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10"/>
                <w:sz w:val="24"/>
                <w:szCs w:val="24"/>
                <w:highlight w:val="none"/>
              </w:rPr>
              <w:t>汞</w:t>
            </w:r>
            <w:r>
              <w:rPr>
                <w:rFonts w:hint="eastAsia" w:ascii="仿宋" w:hAnsi="仿宋" w:eastAsia="仿宋" w:cs="仿宋"/>
                <w:color w:val="auto"/>
                <w:spacing w:val="10"/>
                <w:sz w:val="24"/>
                <w:szCs w:val="24"/>
                <w:highlight w:val="none"/>
                <w:lang w:eastAsia="zh-CN"/>
              </w:rPr>
              <w:t>（</w:t>
            </w:r>
            <w:r>
              <w:rPr>
                <w:rFonts w:hint="eastAsia" w:ascii="仿宋" w:hAnsi="仿宋" w:eastAsia="仿宋" w:cs="仿宋"/>
                <w:color w:val="auto"/>
                <w:spacing w:val="10"/>
                <w:sz w:val="24"/>
                <w:szCs w:val="24"/>
                <w:highlight w:val="none"/>
              </w:rPr>
              <w:t>以</w:t>
            </w:r>
            <w:r>
              <w:rPr>
                <w:rFonts w:hint="eastAsia" w:ascii="仿宋" w:hAnsi="仿宋" w:eastAsia="仿宋" w:cs="仿宋"/>
                <w:color w:val="auto"/>
                <w:sz w:val="24"/>
                <w:szCs w:val="24"/>
                <w:highlight w:val="none"/>
              </w:rPr>
              <w:t>Hg</w:t>
            </w:r>
            <w:r>
              <w:rPr>
                <w:rFonts w:hint="eastAsia" w:ascii="仿宋" w:hAnsi="仿宋" w:eastAsia="仿宋" w:cs="仿宋"/>
                <w:color w:val="auto"/>
                <w:spacing w:val="10"/>
                <w:sz w:val="24"/>
                <w:szCs w:val="24"/>
                <w:highlight w:val="none"/>
              </w:rPr>
              <w:t>计</w:t>
            </w:r>
            <w:r>
              <w:rPr>
                <w:rFonts w:hint="eastAsia" w:ascii="仿宋" w:hAnsi="仿宋" w:eastAsia="仿宋" w:cs="仿宋"/>
                <w:color w:val="auto"/>
                <w:spacing w:val="10"/>
                <w:sz w:val="24"/>
                <w:szCs w:val="24"/>
                <w:highlight w:val="none"/>
                <w:lang w:eastAsia="zh-CN"/>
              </w:rPr>
              <w:t>）</w:t>
            </w:r>
          </w:p>
        </w:tc>
        <w:tc>
          <w:tcPr>
            <w:tcW w:w="4766" w:type="dxa"/>
            <w:tcBorders>
              <w:top w:val="nil"/>
              <w:left w:val="nil"/>
              <w:bottom w:val="nil"/>
              <w:right w:val="nil"/>
            </w:tcBorders>
            <w:noWrap w:val="0"/>
            <w:tcMar>
              <w:top w:w="-1" w:type="dxa"/>
              <w:left w:w="-1" w:type="dxa"/>
              <w:bottom w:w="-1" w:type="dxa"/>
              <w:right w:w="-1" w:type="dxa"/>
            </w:tcMar>
            <w:vAlign w:val="center"/>
          </w:tcPr>
          <w:p w14:paraId="01C6FCFF">
            <w:pPr>
              <w:pStyle w:val="73"/>
              <w:snapToGrid w:val="0"/>
              <w:spacing w:before="138"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≤0.01</w:t>
            </w:r>
          </w:p>
        </w:tc>
      </w:tr>
      <w:tr w14:paraId="4147EA6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3BE8589A">
            <w:pPr>
              <w:pStyle w:val="73"/>
              <w:snapToGrid w:val="0"/>
              <w:spacing w:before="118"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10"/>
                <w:sz w:val="24"/>
                <w:szCs w:val="24"/>
                <w:highlight w:val="none"/>
              </w:rPr>
              <w:t>铅</w:t>
            </w:r>
            <w:r>
              <w:rPr>
                <w:rFonts w:hint="eastAsia" w:ascii="仿宋" w:hAnsi="仿宋" w:eastAsia="仿宋" w:cs="仿宋"/>
                <w:color w:val="auto"/>
                <w:spacing w:val="10"/>
                <w:sz w:val="24"/>
                <w:szCs w:val="24"/>
                <w:highlight w:val="none"/>
                <w:lang w:eastAsia="zh-CN"/>
              </w:rPr>
              <w:t>（</w:t>
            </w:r>
            <w:r>
              <w:rPr>
                <w:rFonts w:hint="eastAsia" w:ascii="仿宋" w:hAnsi="仿宋" w:eastAsia="仿宋" w:cs="仿宋"/>
                <w:color w:val="auto"/>
                <w:spacing w:val="10"/>
                <w:sz w:val="24"/>
                <w:szCs w:val="24"/>
                <w:highlight w:val="none"/>
              </w:rPr>
              <w:t>以</w:t>
            </w:r>
            <w:r>
              <w:rPr>
                <w:rFonts w:hint="eastAsia" w:ascii="仿宋" w:hAnsi="仿宋" w:eastAsia="仿宋" w:cs="仿宋"/>
                <w:color w:val="auto"/>
                <w:sz w:val="24"/>
                <w:szCs w:val="24"/>
                <w:highlight w:val="none"/>
              </w:rPr>
              <w:t>Pb</w:t>
            </w:r>
            <w:r>
              <w:rPr>
                <w:rFonts w:hint="eastAsia" w:ascii="仿宋" w:hAnsi="仿宋" w:eastAsia="仿宋" w:cs="仿宋"/>
                <w:color w:val="auto"/>
                <w:spacing w:val="10"/>
                <w:sz w:val="24"/>
                <w:szCs w:val="24"/>
                <w:highlight w:val="none"/>
              </w:rPr>
              <w:t>计</w:t>
            </w:r>
            <w:r>
              <w:rPr>
                <w:rFonts w:hint="eastAsia" w:ascii="仿宋" w:hAnsi="仿宋" w:eastAsia="仿宋" w:cs="仿宋"/>
                <w:color w:val="auto"/>
                <w:spacing w:val="10"/>
                <w:sz w:val="24"/>
                <w:szCs w:val="24"/>
                <w:highlight w:val="none"/>
                <w:lang w:eastAsia="zh-CN"/>
              </w:rPr>
              <w:t>）</w:t>
            </w:r>
          </w:p>
        </w:tc>
        <w:tc>
          <w:tcPr>
            <w:tcW w:w="4766" w:type="dxa"/>
            <w:tcBorders>
              <w:top w:val="nil"/>
              <w:left w:val="nil"/>
              <w:bottom w:val="nil"/>
              <w:right w:val="nil"/>
            </w:tcBorders>
            <w:noWrap w:val="0"/>
            <w:tcMar>
              <w:top w:w="-1" w:type="dxa"/>
              <w:left w:w="-1" w:type="dxa"/>
              <w:bottom w:w="-1" w:type="dxa"/>
              <w:right w:w="-1" w:type="dxa"/>
            </w:tcMar>
            <w:vAlign w:val="center"/>
          </w:tcPr>
          <w:p w14:paraId="38970B5D">
            <w:pPr>
              <w:pStyle w:val="73"/>
              <w:snapToGrid w:val="0"/>
              <w:spacing w:before="139"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≤0.2</w:t>
            </w:r>
          </w:p>
        </w:tc>
      </w:tr>
      <w:tr w14:paraId="01E1390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626BA5E9">
            <w:pPr>
              <w:pStyle w:val="73"/>
              <w:snapToGrid w:val="0"/>
              <w:spacing w:before="118"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10"/>
                <w:sz w:val="24"/>
                <w:szCs w:val="24"/>
                <w:highlight w:val="none"/>
              </w:rPr>
              <w:t>砷</w:t>
            </w:r>
            <w:r>
              <w:rPr>
                <w:rFonts w:hint="eastAsia" w:ascii="仿宋" w:hAnsi="仿宋" w:eastAsia="仿宋" w:cs="仿宋"/>
                <w:color w:val="auto"/>
                <w:spacing w:val="10"/>
                <w:sz w:val="24"/>
                <w:szCs w:val="24"/>
                <w:highlight w:val="none"/>
                <w:lang w:eastAsia="zh-CN"/>
              </w:rPr>
              <w:t>（</w:t>
            </w:r>
            <w:r>
              <w:rPr>
                <w:rFonts w:hint="eastAsia" w:ascii="仿宋" w:hAnsi="仿宋" w:eastAsia="仿宋" w:cs="仿宋"/>
                <w:color w:val="auto"/>
                <w:spacing w:val="10"/>
                <w:sz w:val="24"/>
                <w:szCs w:val="24"/>
                <w:highlight w:val="none"/>
              </w:rPr>
              <w:t>以</w:t>
            </w:r>
            <w:r>
              <w:rPr>
                <w:rFonts w:hint="eastAsia" w:ascii="仿宋" w:hAnsi="仿宋" w:eastAsia="仿宋" w:cs="仿宋"/>
                <w:color w:val="auto"/>
                <w:sz w:val="24"/>
                <w:szCs w:val="24"/>
                <w:highlight w:val="none"/>
              </w:rPr>
              <w:t>As</w:t>
            </w:r>
            <w:r>
              <w:rPr>
                <w:rFonts w:hint="eastAsia" w:ascii="仿宋" w:hAnsi="仿宋" w:eastAsia="仿宋" w:cs="仿宋"/>
                <w:color w:val="auto"/>
                <w:spacing w:val="10"/>
                <w:sz w:val="24"/>
                <w:szCs w:val="24"/>
                <w:highlight w:val="none"/>
              </w:rPr>
              <w:t>计</w:t>
            </w:r>
            <w:r>
              <w:rPr>
                <w:rFonts w:hint="eastAsia" w:ascii="仿宋" w:hAnsi="仿宋" w:eastAsia="仿宋" w:cs="仿宋"/>
                <w:color w:val="auto"/>
                <w:spacing w:val="10"/>
                <w:sz w:val="24"/>
                <w:szCs w:val="24"/>
                <w:highlight w:val="none"/>
                <w:lang w:eastAsia="zh-CN"/>
              </w:rPr>
              <w:t>）</w:t>
            </w:r>
          </w:p>
        </w:tc>
        <w:tc>
          <w:tcPr>
            <w:tcW w:w="4766" w:type="dxa"/>
            <w:tcBorders>
              <w:top w:val="nil"/>
              <w:left w:val="nil"/>
              <w:bottom w:val="nil"/>
              <w:right w:val="nil"/>
            </w:tcBorders>
            <w:noWrap w:val="0"/>
            <w:tcMar>
              <w:top w:w="-1" w:type="dxa"/>
              <w:left w:w="-1" w:type="dxa"/>
              <w:bottom w:w="-1" w:type="dxa"/>
              <w:right w:w="-1" w:type="dxa"/>
            </w:tcMar>
            <w:vAlign w:val="center"/>
          </w:tcPr>
          <w:p w14:paraId="26AB1179">
            <w:pPr>
              <w:pStyle w:val="73"/>
              <w:snapToGrid w:val="0"/>
              <w:spacing w:before="139"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≤0.5</w:t>
            </w:r>
          </w:p>
        </w:tc>
      </w:tr>
      <w:tr w14:paraId="1A83469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3DBE1AA7">
            <w:pPr>
              <w:pStyle w:val="73"/>
              <w:snapToGrid w:val="0"/>
              <w:spacing w:before="118"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44"/>
                <w:sz w:val="24"/>
                <w:szCs w:val="24"/>
                <w:highlight w:val="none"/>
              </w:rPr>
              <w:t>氟</w:t>
            </w:r>
            <w:r>
              <w:rPr>
                <w:rFonts w:hint="eastAsia" w:ascii="仿宋" w:hAnsi="仿宋" w:eastAsia="仿宋" w:cs="仿宋"/>
                <w:color w:val="auto"/>
                <w:spacing w:val="44"/>
                <w:sz w:val="24"/>
                <w:szCs w:val="24"/>
                <w:highlight w:val="none"/>
                <w:lang w:eastAsia="zh-CN"/>
              </w:rPr>
              <w:t>（</w:t>
            </w:r>
            <w:r>
              <w:rPr>
                <w:rFonts w:hint="eastAsia" w:ascii="仿宋" w:hAnsi="仿宋" w:eastAsia="仿宋" w:cs="仿宋"/>
                <w:color w:val="auto"/>
                <w:spacing w:val="44"/>
                <w:sz w:val="24"/>
                <w:szCs w:val="24"/>
                <w:highlight w:val="none"/>
              </w:rPr>
              <w:t>以F计</w:t>
            </w:r>
            <w:r>
              <w:rPr>
                <w:rFonts w:hint="eastAsia" w:ascii="仿宋" w:hAnsi="仿宋" w:eastAsia="仿宋" w:cs="仿宋"/>
                <w:color w:val="auto"/>
                <w:spacing w:val="44"/>
                <w:sz w:val="24"/>
                <w:szCs w:val="24"/>
                <w:highlight w:val="none"/>
                <w:lang w:eastAsia="zh-CN"/>
              </w:rPr>
              <w:t>）</w:t>
            </w:r>
          </w:p>
        </w:tc>
        <w:tc>
          <w:tcPr>
            <w:tcW w:w="4766" w:type="dxa"/>
            <w:tcBorders>
              <w:top w:val="nil"/>
              <w:left w:val="nil"/>
              <w:bottom w:val="nil"/>
              <w:right w:val="nil"/>
            </w:tcBorders>
            <w:noWrap w:val="0"/>
            <w:tcMar>
              <w:top w:w="-1" w:type="dxa"/>
              <w:left w:w="-1" w:type="dxa"/>
              <w:bottom w:w="-1" w:type="dxa"/>
              <w:right w:w="-1" w:type="dxa"/>
            </w:tcMar>
            <w:vAlign w:val="center"/>
          </w:tcPr>
          <w:p w14:paraId="362EC11E">
            <w:pPr>
              <w:pStyle w:val="73"/>
              <w:snapToGrid w:val="0"/>
              <w:spacing w:before="140"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≤0.5</w:t>
            </w:r>
          </w:p>
        </w:tc>
      </w:tr>
      <w:tr w14:paraId="295A38E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0" w:hRule="atLeast"/>
          <w:jc w:val="center"/>
        </w:trPr>
        <w:tc>
          <w:tcPr>
            <w:tcW w:w="0" w:type="auto"/>
            <w:tcBorders>
              <w:top w:val="nil"/>
              <w:left w:val="nil"/>
              <w:bottom w:val="nil"/>
              <w:right w:val="nil"/>
            </w:tcBorders>
            <w:noWrap w:val="0"/>
            <w:tcMar>
              <w:top w:w="-1" w:type="dxa"/>
              <w:left w:w="-1" w:type="dxa"/>
              <w:bottom w:w="-1" w:type="dxa"/>
              <w:right w:w="-1" w:type="dxa"/>
            </w:tcMar>
            <w:vAlign w:val="center"/>
          </w:tcPr>
          <w:p w14:paraId="7FB23851">
            <w:pPr>
              <w:pStyle w:val="73"/>
              <w:snapToGrid w:val="0"/>
              <w:spacing w:before="120"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硝酸盐</w:t>
            </w:r>
            <w:r>
              <w:rPr>
                <w:rFonts w:hint="eastAsia" w:ascii="仿宋" w:hAnsi="仿宋" w:eastAsia="仿宋" w:cs="仿宋"/>
                <w:color w:val="auto"/>
                <w:spacing w:val="6"/>
                <w:sz w:val="24"/>
                <w:szCs w:val="24"/>
                <w:highlight w:val="none"/>
                <w:lang w:eastAsia="zh-CN"/>
              </w:rPr>
              <w:t>（</w:t>
            </w:r>
            <w:r>
              <w:rPr>
                <w:rFonts w:hint="eastAsia" w:ascii="仿宋" w:hAnsi="仿宋" w:eastAsia="仿宋" w:cs="仿宋"/>
                <w:color w:val="auto"/>
                <w:spacing w:val="6"/>
                <w:sz w:val="24"/>
                <w:szCs w:val="24"/>
                <w:highlight w:val="none"/>
              </w:rPr>
              <w:t>以</w:t>
            </w:r>
            <w:r>
              <w:rPr>
                <w:rFonts w:hint="eastAsia" w:ascii="仿宋" w:hAnsi="仿宋" w:eastAsia="仿宋" w:cs="仿宋"/>
                <w:color w:val="auto"/>
                <w:sz w:val="24"/>
                <w:szCs w:val="24"/>
                <w:highlight w:val="none"/>
              </w:rPr>
              <w:t>NaNO</w:t>
            </w:r>
            <w:r>
              <w:rPr>
                <w:rFonts w:hint="eastAsia" w:ascii="仿宋" w:hAnsi="仿宋" w:eastAsia="仿宋" w:cs="仿宋"/>
                <w:color w:val="auto"/>
                <w:spacing w:val="6"/>
                <w:sz w:val="24"/>
                <w:szCs w:val="24"/>
                <w:highlight w:val="none"/>
              </w:rPr>
              <w:t>3计</w:t>
            </w:r>
            <w:r>
              <w:rPr>
                <w:rFonts w:hint="eastAsia" w:ascii="仿宋" w:hAnsi="仿宋" w:eastAsia="仿宋" w:cs="仿宋"/>
                <w:color w:val="auto"/>
                <w:spacing w:val="6"/>
                <w:sz w:val="24"/>
                <w:szCs w:val="24"/>
                <w:highlight w:val="none"/>
                <w:lang w:eastAsia="zh-CN"/>
              </w:rPr>
              <w:t>）</w:t>
            </w:r>
          </w:p>
        </w:tc>
        <w:tc>
          <w:tcPr>
            <w:tcW w:w="4766" w:type="dxa"/>
            <w:tcBorders>
              <w:top w:val="nil"/>
              <w:left w:val="nil"/>
              <w:bottom w:val="nil"/>
              <w:right w:val="nil"/>
            </w:tcBorders>
            <w:noWrap w:val="0"/>
            <w:tcMar>
              <w:top w:w="-1" w:type="dxa"/>
              <w:left w:w="-1" w:type="dxa"/>
              <w:bottom w:w="-1" w:type="dxa"/>
              <w:right w:w="-1" w:type="dxa"/>
            </w:tcMar>
            <w:vAlign w:val="center"/>
          </w:tcPr>
          <w:p w14:paraId="3C172277">
            <w:pPr>
              <w:pStyle w:val="73"/>
              <w:snapToGrid w:val="0"/>
              <w:spacing w:before="119"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瓜果类≤600</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叶菜根茎类≤1200</w:t>
            </w:r>
          </w:p>
        </w:tc>
      </w:tr>
      <w:tr w14:paraId="6402605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0" w:type="dxa"/>
            <w:bottom w:w="0" w:type="dxa"/>
            <w:right w:w="0" w:type="dxa"/>
          </w:tblCellMar>
        </w:tblPrEx>
        <w:trPr>
          <w:trHeight w:val="0" w:hRule="atLeast"/>
          <w:jc w:val="center"/>
        </w:trPr>
        <w:tc>
          <w:tcPr>
            <w:tcW w:w="3518" w:type="dxa"/>
            <w:tcBorders>
              <w:top w:val="nil"/>
              <w:left w:val="nil"/>
              <w:bottom w:val="single" w:color="auto" w:sz="12" w:space="0"/>
              <w:right w:val="nil"/>
            </w:tcBorders>
            <w:noWrap w:val="0"/>
            <w:tcMar>
              <w:top w:w="-1" w:type="dxa"/>
              <w:left w:w="-1" w:type="dxa"/>
              <w:bottom w:w="-1" w:type="dxa"/>
              <w:right w:w="-1" w:type="dxa"/>
            </w:tcMar>
            <w:vAlign w:val="center"/>
          </w:tcPr>
          <w:p w14:paraId="14EA64E3">
            <w:pPr>
              <w:pStyle w:val="73"/>
              <w:snapToGrid w:val="0"/>
              <w:spacing w:before="121"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亚硝酸盐</w:t>
            </w:r>
            <w:r>
              <w:rPr>
                <w:rFonts w:hint="eastAsia" w:ascii="仿宋" w:hAnsi="仿宋" w:eastAsia="仿宋" w:cs="仿宋"/>
                <w:color w:val="auto"/>
                <w:spacing w:val="5"/>
                <w:sz w:val="24"/>
                <w:szCs w:val="24"/>
                <w:highlight w:val="none"/>
                <w:lang w:eastAsia="zh-CN"/>
              </w:rPr>
              <w:t>（</w:t>
            </w:r>
            <w:r>
              <w:rPr>
                <w:rFonts w:hint="eastAsia" w:ascii="仿宋" w:hAnsi="仿宋" w:eastAsia="仿宋" w:cs="仿宋"/>
                <w:color w:val="auto"/>
                <w:spacing w:val="5"/>
                <w:sz w:val="24"/>
                <w:szCs w:val="24"/>
                <w:highlight w:val="none"/>
              </w:rPr>
              <w:t>以</w:t>
            </w:r>
            <w:r>
              <w:rPr>
                <w:rFonts w:hint="eastAsia" w:ascii="仿宋" w:hAnsi="仿宋" w:eastAsia="仿宋" w:cs="仿宋"/>
                <w:color w:val="auto"/>
                <w:sz w:val="24"/>
                <w:szCs w:val="24"/>
                <w:highlight w:val="none"/>
              </w:rPr>
              <w:t>NaNO</w:t>
            </w:r>
            <w:r>
              <w:rPr>
                <w:rFonts w:hint="eastAsia" w:ascii="仿宋" w:hAnsi="仿宋" w:eastAsia="仿宋" w:cs="仿宋"/>
                <w:color w:val="auto"/>
                <w:spacing w:val="5"/>
                <w:sz w:val="24"/>
                <w:szCs w:val="24"/>
                <w:highlight w:val="none"/>
              </w:rPr>
              <w:t>2计</w:t>
            </w:r>
            <w:r>
              <w:rPr>
                <w:rFonts w:hint="eastAsia" w:ascii="仿宋" w:hAnsi="仿宋" w:eastAsia="仿宋" w:cs="仿宋"/>
                <w:color w:val="auto"/>
                <w:spacing w:val="5"/>
                <w:sz w:val="24"/>
                <w:szCs w:val="24"/>
                <w:highlight w:val="none"/>
                <w:lang w:eastAsia="zh-CN"/>
              </w:rPr>
              <w:t>）</w:t>
            </w:r>
          </w:p>
        </w:tc>
        <w:tc>
          <w:tcPr>
            <w:tcW w:w="4766" w:type="dxa"/>
            <w:tcBorders>
              <w:top w:val="nil"/>
              <w:left w:val="nil"/>
              <w:bottom w:val="single" w:color="auto" w:sz="12" w:space="0"/>
              <w:right w:val="nil"/>
            </w:tcBorders>
            <w:noWrap w:val="0"/>
            <w:tcMar>
              <w:top w:w="-1" w:type="dxa"/>
              <w:left w:w="-1" w:type="dxa"/>
              <w:bottom w:w="-1" w:type="dxa"/>
              <w:right w:w="-1" w:type="dxa"/>
            </w:tcMar>
            <w:vAlign w:val="center"/>
          </w:tcPr>
          <w:p w14:paraId="26B2B2AC">
            <w:pPr>
              <w:pStyle w:val="73"/>
              <w:snapToGrid w:val="0"/>
              <w:spacing w:before="142"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pacing w:val="-10"/>
                <w:sz w:val="24"/>
                <w:szCs w:val="24"/>
                <w:highlight w:val="none"/>
              </w:rPr>
              <w:t>≤4</w:t>
            </w:r>
          </w:p>
        </w:tc>
      </w:tr>
    </w:tbl>
    <w:p w14:paraId="727C63D1">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（2）具体感官要求：</w:t>
      </w:r>
    </w:p>
    <w:p w14:paraId="64892398">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ascii="仿宋" w:hAnsi="仿宋" w:eastAsia="仿宋"/>
          <w:b w:val="0"/>
          <w:bCs w:val="0"/>
          <w:color w:val="auto"/>
          <w:sz w:val="24"/>
          <w:highlight w:val="none"/>
        </w:rPr>
        <w:t>从蔬菜色泽看，各种蔬菜都应具有本品种固有的颜色，大多数有发亮的光泽，以此显示蔬菜的成熟度及鲜嫩程度；从蔬菜气味看，多数蔬菜具有清馨、甘辛香、甜酸香等气味，可凭嗅觉识别不同品种的质量，不允许有腐烂变质的亚硝酸盐味和其他异常气味；从蔬菜滋味看，因品种不同而各异，多数蔬菜滋味甘淡、甜酸、清爽鲜美，少数具有辛酸、苦涩等特殊风味以刺激食欲，如失去本品种原有的滋味即为异常；从蔬菜形态看，须避免由于客观因素而造成的各种非正常、不新鲜的蔬菜，例如萎蔫、枯塌、损伤、病变、虫害侵蚀等引起的形态异常等。</w:t>
      </w:r>
    </w:p>
    <w:p w14:paraId="7B756630">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叶菜类： 大白菜、小白菜、菠菜、甘蓝、荠菜、空心菜、茼蒿、苋菜、芹菜等绿叶菜类。属同一品种规格，肉质鲜嫩形态好，色泽正常，茎基部削平，无枯黄叶、病叶、泥土、明显机械伤和病虫害伤，无烧心焦边、腐烂等现象，无抽薹（菜心除外），无畸形、异味，结球叶菜要结球适度，花椰菜应新鲜洁白，不带叶麸，无畸形花。</w:t>
      </w:r>
    </w:p>
    <w:p w14:paraId="05AE8090">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茄果类： 番茄、茄子、甜椒、辣椒等。属同一品种规格，果实整洁，成熟度适中，番茄花蒂不明显，无裂果及空洞现象，茄果不能有裂蒂及果皮变硬现象，无腐烂、畸形、异味，无明显机械伤。</w:t>
      </w:r>
    </w:p>
    <w:p w14:paraId="603C7368">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瓜果类： 黄瓜、冬瓜、丝瓜、苦瓜、南瓜、毛节瓜等。属同一品种规格，形状、色泽一致，瓜条均匀，无疤点，无断裂，无腐烂、畸形、异味、明显机械伤，不带泥土。</w:t>
      </w:r>
    </w:p>
    <w:p w14:paraId="6AF2D5E5">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根菜类： 萝卜、胡萝卜等。属同一品种规格，皮细光滑，大小均匀，肉质脆嫩致密新鲜，无腐烂、畸形、裂痕、糠心、异味，不带泥沙，不带茎叶和须根。</w:t>
      </w:r>
    </w:p>
    <w:p w14:paraId="790AB2E1">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薯芋类： 马铃薯、芋、姜等。属同一品种规格，色泽一致，不带泥沙，不带须根、茎叶，不干瘪，无腐烂、畸形、异味、明显机械伤、病虫害斑，马铃薯无发芽，皮不变绿。</w:t>
      </w:r>
    </w:p>
    <w:p w14:paraId="2CD5BDC8">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葱蒜类： 葱、蒜、韭菜、洋葱等。属同一品种规格，允许葱、青蒜类保留干净须根，葱、蒜、韭菜不带老叶，蒜头、洋葱去根去枯叶，可食部分新鲜幼嫩，无腐烂、畸形、异味。</w:t>
      </w:r>
    </w:p>
    <w:p w14:paraId="0BAE25AD">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ascii="仿宋" w:hAnsi="仿宋" w:eastAsia="仿宋"/>
          <w:b w:val="0"/>
          <w:bCs w:val="0"/>
          <w:color w:val="auto"/>
          <w:sz w:val="24"/>
          <w:highlight w:val="none"/>
        </w:rPr>
        <w:t>豆类： 扁豆、豌豆、毛豆等。属同一品种规格，形态完整，成熟度适中，无腐烂、畸形、异味，豆荚类新鲜、幼嫩、均匀，豆仁类籽粒饱满、均匀，无发芽，不带泥土杂质。</w:t>
      </w:r>
    </w:p>
    <w:p w14:paraId="17FE2F01">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水生菜类： 藕、慈菇、茭白、马蹄、菱等。属同一品种规格，肉质嫩，成熟度适中，无腐烂、畸形、异味，无明显机械伤，不带泥土和杂质，不干瘪，茭白不黑心。</w:t>
      </w:r>
    </w:p>
    <w:p w14:paraId="5068C6F1">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食用菌类： 蘑菇、草菇、香菇、木耳等。属同一品种规格，蘑菇、草菇菌盖圆整略展开，柄粗壮，菌膜紧，菇柄切削平整，不浸泡水（蘑菇允许浸盐水保鲜），新鲜，无杂质，无畸形菇，无腐烂、异味。</w:t>
      </w:r>
    </w:p>
    <w:p w14:paraId="596063AF">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芽苗类： 绿豆芽、黄豆芽、香椿苗等。豆芽类禁止使用添加剂催芽，浸泡，芽苗幼嫩，不带豆壳杂质，新鲜，不浸水，无腐烂、异味。</w:t>
      </w:r>
    </w:p>
    <w:p w14:paraId="5D661B3D">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（3）食品供应链要求：蔬菜来源应当来源于受到地方政府部门监管的自有基地、商品菜基地或蔬菜专业流通市场。</w:t>
      </w:r>
    </w:p>
    <w:p w14:paraId="72B5954F">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2.4.3肉类</w:t>
      </w:r>
    </w:p>
    <w:p w14:paraId="060AAE91">
      <w:pPr>
        <w:keepNext w:val="0"/>
        <w:keepLines w:val="0"/>
        <w:pageBreakBefore w:val="0"/>
        <w:numPr>
          <w:ilvl w:val="0"/>
          <w:numId w:val="3"/>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肉类供应情况要求：肉类产品以热鲜肉为主，除采购人在下单时特别标注为冷冻肉外，供应商一律供应热鲜肉。</w:t>
      </w:r>
    </w:p>
    <w:p w14:paraId="1B885A9D">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ascii="仿宋" w:hAnsi="仿宋" w:eastAsia="仿宋"/>
          <w:b w:val="0"/>
          <w:bCs w:val="0"/>
          <w:color w:val="auto"/>
          <w:sz w:val="24"/>
          <w:highlight w:val="none"/>
        </w:rPr>
        <w:t>①鸡、鸭、鹅等禽类：供应商配送的家禽类渠道来源正规可溯，须来源于大型养殖场，禽类的表皮光滑，新鲜肥嫩，无内脏，眼球饱满或平坦，皮肤有光泽，根据品种的不同而呈现出家禽原有的自然颜色，肌肉切面有光泽，表皮微湿润，不粘手。</w:t>
      </w:r>
    </w:p>
    <w:p w14:paraId="3D3A5874">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ascii="仿宋" w:hAnsi="仿宋" w:eastAsia="仿宋"/>
          <w:b w:val="0"/>
          <w:bCs w:val="0"/>
          <w:color w:val="auto"/>
          <w:sz w:val="24"/>
          <w:highlight w:val="none"/>
        </w:rPr>
        <w:t>②猪、牛、羊等肉类：供应商配送的猪肉、牛肉、羊肉等渠道来源正规可溯，</w:t>
      </w:r>
      <w:r>
        <w:rPr>
          <w:rFonts w:hint="eastAsia" w:ascii="仿宋" w:hAnsi="仿宋" w:eastAsia="仿宋"/>
          <w:b w:val="0"/>
          <w:bCs w:val="0"/>
          <w:color w:val="auto"/>
          <w:sz w:val="24"/>
          <w:highlight w:val="none"/>
          <w:lang w:eastAsia="zh-CN"/>
        </w:rPr>
        <w:t>须</w:t>
      </w:r>
      <w:r>
        <w:rPr>
          <w:rFonts w:ascii="仿宋" w:hAnsi="仿宋" w:eastAsia="仿宋"/>
          <w:b w:val="0"/>
          <w:bCs w:val="0"/>
          <w:color w:val="auto"/>
          <w:sz w:val="24"/>
          <w:highlight w:val="none"/>
        </w:rPr>
        <w:t>来源于大型养殖场，肉类来源于项目所在地正规屠宰场，肉呈均匀的红色，有光泽，肉质紧密，有坚实感，肉的表面及切面微湿润，不粘手，脂肪洁白。</w:t>
      </w:r>
    </w:p>
    <w:p w14:paraId="1F56EB6D">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③鲜鱼：鱼体健康，体态匀称，游动活泼，体色鲜明，体表光滑，眼睛亮丽，鳞片鳍条完好。</w:t>
      </w:r>
    </w:p>
    <w:p w14:paraId="7E68913D">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ascii="仿宋" w:hAnsi="仿宋" w:eastAsia="仿宋"/>
          <w:b w:val="0"/>
          <w:bCs w:val="0"/>
          <w:color w:val="auto"/>
          <w:sz w:val="24"/>
          <w:highlight w:val="none"/>
        </w:rPr>
        <w:t>④供应商</w:t>
      </w:r>
      <w:r>
        <w:rPr>
          <w:rFonts w:hint="eastAsia" w:ascii="仿宋" w:hAnsi="仿宋" w:eastAsia="仿宋"/>
          <w:b w:val="0"/>
          <w:bCs w:val="0"/>
          <w:color w:val="auto"/>
          <w:sz w:val="24"/>
          <w:highlight w:val="none"/>
          <w:lang w:eastAsia="zh-CN"/>
        </w:rPr>
        <w:t>须</w:t>
      </w:r>
      <w:r>
        <w:rPr>
          <w:rFonts w:ascii="仿宋" w:hAnsi="仿宋" w:eastAsia="仿宋"/>
          <w:b w:val="0"/>
          <w:bCs w:val="0"/>
          <w:color w:val="auto"/>
          <w:sz w:val="24"/>
          <w:highlight w:val="none"/>
        </w:rPr>
        <w:t>提供正规屠宰场肉类采购合同复印件（加盖供应商公章）和相关负责人联系方式等材料。</w:t>
      </w:r>
    </w:p>
    <w:p w14:paraId="58481B03">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ascii="仿宋" w:hAnsi="仿宋" w:eastAsia="仿宋"/>
          <w:b w:val="0"/>
          <w:bCs w:val="0"/>
          <w:color w:val="auto"/>
          <w:sz w:val="24"/>
          <w:highlight w:val="none"/>
        </w:rPr>
        <w:t>（2）所供货物</w:t>
      </w:r>
      <w:r>
        <w:rPr>
          <w:rFonts w:hint="eastAsia" w:ascii="仿宋" w:hAnsi="仿宋" w:eastAsia="仿宋"/>
          <w:b w:val="0"/>
          <w:bCs w:val="0"/>
          <w:color w:val="auto"/>
          <w:sz w:val="24"/>
          <w:highlight w:val="none"/>
          <w:lang w:eastAsia="zh-CN"/>
        </w:rPr>
        <w:t>须</w:t>
      </w:r>
      <w:r>
        <w:rPr>
          <w:rFonts w:ascii="仿宋" w:hAnsi="仿宋" w:eastAsia="仿宋"/>
          <w:b w:val="0"/>
          <w:bCs w:val="0"/>
          <w:color w:val="auto"/>
          <w:sz w:val="24"/>
          <w:highlight w:val="none"/>
        </w:rPr>
        <w:t>保持良好的外观和质量等级，符合国家食品部门的有关标准，保证无异味、无霉烂变质，肉类保证来源于正规屠宰场，供货时需提交屠宰场的验收单及当批次有效的动物检疫合格证复印件，鲜肉确保每日新鲜，冷冻肉要求肉体冻实而坚硬，无化冻现象，肉质紧密而有弹性，色泽均匀，不粘手，交货时干净、新鲜、无异味，冷冻鱼类要求鱼眼睛清亮，角膜透明，鳞片上覆有冻结的透明黏液层，皮肤天然色泽明显。</w:t>
      </w:r>
    </w:p>
    <w:p w14:paraId="5781D20F">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（3）所有货物规格符合采购人提交的日采购计划中明确的具体需求。</w:t>
      </w:r>
    </w:p>
    <w:p w14:paraId="57E143F4">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冷冻禽类食品解冻后净重量不少于90%，冷冻肉类食品解冻后净重量不少于92%，冷冻水产类食品解冻后净重量不少于82%，解冻时间为4小时以内（室温20℃）。所有冷冻食品要求清晰列出产品品牌、规格、类型、包装方式、包装净重、含冰量等相关参数。</w:t>
      </w:r>
    </w:p>
    <w:p w14:paraId="588A3BD6">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2.4.4干货及腊味</w:t>
      </w:r>
    </w:p>
    <w:p w14:paraId="7CF31CF3">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干货制品的质量基本标准要求符合国家相关行业标准，干爽，不霉烂、整齐、均匀、完整，无虫蛀、无杂质，保持应有的色泽。确保产品质量稳定，保证营养丰富、绿色安全、海味浓郁、易存放、食用方便，保质期长。从加工、包装、运输、贮存到销售全部符合国家规定标准。尤其是二氧化硫残留量、总砷含量不超过国家卫生标准；木耳类的水分含量不能超过国家标准要求，采购人可根据实际情况对需要的干货制品进行品质抽检，对质量未达到国家标准的干货制品采购人有权拒绝接受。</w:t>
      </w:r>
    </w:p>
    <w:p w14:paraId="362B985B">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2.4.5早餐成品熟食</w:t>
      </w:r>
    </w:p>
    <w:p w14:paraId="2C95035E">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供应范围：本项目早餐成品熟食包含但不限于包子（菜包、肉包）、蒸饺、茶叶蛋、葱条、粗米粉、豆浆、河粉、红糖发糕、碱水面、酱香饼、麻圆、拇指年糕、勺子米果、手工水饺、手指年糕、细米粉、小笼包、新鲜艾米果、新鲜馄饨、腌菜米果、油条、原味豆浆等品种，具体品种、数量及要求参照【附件2：采购清单】。</w:t>
      </w:r>
    </w:p>
    <w:p w14:paraId="37704269">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资质要求：供应商应持有合法有效的《食品经营许可证》（经营范围须含：热食类食品制售）或相应小餐饮登记等合法证照；直接接触入口食品的从业人员须持有效健康证明，并按规定着装、佩戴口罩和手套。</w:t>
      </w:r>
    </w:p>
    <w:p w14:paraId="2907B0E3">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原料要求：制作早餐成品熟食的原料（面粉、大米、肉类、蛋类、蔬菜、食用油等）须来源合法、质量合格、可追溯；严禁使用过期、变质、霉变、掺假或以次充好的原料；食品添加剂的使用须符合GB2760-2024《食品安全国家标准 食品添加剂使用标准》，严禁超范围、超限量使用，严禁使用非食用物质。</w:t>
      </w:r>
    </w:p>
    <w:p w14:paraId="37A8511D">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加工与配送要求：早餐成品熟食须当日加工、当日配送，保证新鲜；热食类成品在加工、配送及验收时中心温度应不低于60℃，配送过程须采取保温或冷链措施，使用清洁卫生、加盖密封的专用容器盛装，防止交叉污染；配送车辆及器具须定期清洗消毒。</w:t>
      </w:r>
    </w:p>
    <w:p w14:paraId="6E19BDEA">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（5）感官要求：成品应色泽、形态正常，新鲜无霉变，无酸败、异味、异物，无腐败变质现象，符合食品安全标准。</w:t>
      </w:r>
    </w:p>
    <w:p w14:paraId="27A12AD3">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（6）检验与记录：供应商应按批次提供相应品种的合格证明或同批次检验报告（复印件），并按规定做好进货查验、加工记录；成品熟食留样按本文件2.8留样要求执行。</w:t>
      </w:r>
    </w:p>
    <w:p w14:paraId="36B8CBFD">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7）责任承担：因供应商供应的早餐成品熟食不符合食品安全要求，引发食物中毒或食品安全事故的，经查实确属供应商责任的，供应商应承担全部责任，包括但不限于人员医疗费、误工费、赔偿金及行政处罚等，直至依法追究刑事责任。</w:t>
      </w:r>
    </w:p>
    <w:p w14:paraId="0ACEAC2D">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2.5其他要求</w:t>
      </w:r>
    </w:p>
    <w:p w14:paraId="7800D57E">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2.5.1 供应商供应商品的质量与包装应当符合国家相关法律法规的规定，符合行业主管部门发布的规定、标准、规范。</w:t>
      </w:r>
    </w:p>
    <w:p w14:paraId="5B502085">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2.5.2 按规定须经由法定食品检验机构检测的商品，供应商应于采购人采购时向采购人提供同批次产品检验报告或合格证（复印件）。</w:t>
      </w:r>
    </w:p>
    <w:p w14:paraId="7F6BEB18">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ascii="仿宋" w:hAnsi="仿宋" w:eastAsia="仿宋"/>
          <w:b w:val="0"/>
          <w:bCs w:val="0"/>
          <w:color w:val="auto"/>
          <w:sz w:val="24"/>
          <w:highlight w:val="none"/>
        </w:rPr>
        <w:t>2.5.3 采购人经营过程中发生的政府部门按规定进行的涉及供应商所供商品的质量检验，如检验部门收取费用，检验费用承担方式约定为：如商品质量经检验合格，检验费由双方各承担50%；商品质量经检验不合格的，检测费等一切费用由供应商承担（若因此导致采购人遭受行政处罚的，所产生的一切损失（含行政罚款）均由供应商承担）。因食品安全问题而送检的供应商所供商品，经检验不合格的，检验费用由供应商承担（如因此导致的采购人赔偿与罚款亦由供应商承担）。相关费用</w:t>
      </w:r>
      <w:r>
        <w:rPr>
          <w:rFonts w:hint="eastAsia" w:ascii="仿宋" w:hAnsi="仿宋" w:eastAsia="仿宋"/>
          <w:b w:val="0"/>
          <w:bCs w:val="0"/>
          <w:color w:val="auto"/>
          <w:sz w:val="24"/>
          <w:highlight w:val="none"/>
          <w:lang w:eastAsia="zh-CN"/>
        </w:rPr>
        <w:t>须</w:t>
      </w:r>
      <w:r>
        <w:rPr>
          <w:rFonts w:ascii="仿宋" w:hAnsi="仿宋" w:eastAsia="仿宋"/>
          <w:b w:val="0"/>
          <w:bCs w:val="0"/>
          <w:color w:val="auto"/>
          <w:sz w:val="24"/>
          <w:highlight w:val="none"/>
        </w:rPr>
        <w:t>由供应商承担</w:t>
      </w:r>
      <w:r>
        <w:rPr>
          <w:rFonts w:hint="eastAsia" w:ascii="仿宋" w:hAnsi="仿宋" w:eastAsia="仿宋"/>
          <w:b w:val="0"/>
          <w:bCs w:val="0"/>
          <w:color w:val="auto"/>
          <w:sz w:val="24"/>
          <w:highlight w:val="none"/>
          <w:lang w:val="en-US" w:eastAsia="zh-CN"/>
        </w:rPr>
        <w:t>的</w:t>
      </w:r>
      <w:r>
        <w:rPr>
          <w:rFonts w:ascii="仿宋" w:hAnsi="仿宋" w:eastAsia="仿宋"/>
          <w:b w:val="0"/>
          <w:bCs w:val="0"/>
          <w:color w:val="auto"/>
          <w:sz w:val="24"/>
          <w:highlight w:val="none"/>
        </w:rPr>
        <w:t>，由采购人向供应商提供检验机构出具的收费凭证（或复印件）</w:t>
      </w:r>
    </w:p>
    <w:p w14:paraId="3A9E9B66">
      <w:pPr>
        <w:keepNext w:val="0"/>
        <w:keepLines w:val="0"/>
        <w:pageBreakBefore w:val="0"/>
        <w:tabs>
          <w:tab w:val="left" w:pos="2513"/>
        </w:tabs>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2.5.4若供应商所售产品经采购人检验有质量瑕疵或系假冒伪劣产品或不符合合同要求的，采购人有权要求退货或换货，累计3次抽检不合格的，采购人有权要求供应商支付合同总金额10%的违约金并解除合同。</w:t>
      </w:r>
    </w:p>
    <w:p w14:paraId="28847CFB">
      <w:pPr>
        <w:keepNext w:val="0"/>
        <w:keepLines w:val="0"/>
        <w:pageBreakBefore w:val="0"/>
        <w:tabs>
          <w:tab w:val="left" w:pos="2513"/>
        </w:tabs>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2.5.5供应商提供的货物，如在运输过程中出现质量问题，或被有关部门检查中发现问题的，相关赔偿责任均由供应商承担，如采购人因此受到相关经济损失或者需承担相关法律责任的，采购人有权要求供应商承担最终责任。</w:t>
      </w:r>
    </w:p>
    <w:p w14:paraId="62057E12">
      <w:pPr>
        <w:keepNext w:val="0"/>
        <w:keepLines w:val="0"/>
        <w:pageBreakBefore w:val="0"/>
        <w:tabs>
          <w:tab w:val="left" w:pos="2513"/>
        </w:tabs>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2.5.6采购人每天中午13:00前对次日供货需求进行下单，供应商应在采购人发出采购清单后次日7:30前（具体供货时间以采购人下单时要求为准）完成货物的配送。到货时限为：每日7:30前到货，如当日送货后存在</w:t>
      </w:r>
      <w:r>
        <w:rPr>
          <w:rStyle w:val="62"/>
          <w:rFonts w:hint="default" w:ascii="仿宋" w:hAnsi="仿宋" w:eastAsia="仿宋" w:cs="仿宋"/>
          <w:b w:val="0"/>
          <w:bCs w:val="0"/>
          <w:color w:val="auto"/>
          <w:sz w:val="24"/>
          <w:szCs w:val="24"/>
          <w:highlight w:val="none"/>
          <w:lang w:val="en-US" w:eastAsia="zh-CN"/>
        </w:rPr>
        <w:t>紧急补货需求，</w:t>
      </w:r>
      <w:r>
        <w:rPr>
          <w:rFonts w:hint="eastAsia" w:ascii="仿宋" w:hAnsi="仿宋" w:eastAsia="仿宋" w:cs="仿宋"/>
          <w:b w:val="0"/>
          <w:bCs w:val="0"/>
          <w:color w:val="auto"/>
          <w:sz w:val="24"/>
          <w:szCs w:val="24"/>
          <w:highlight w:val="none"/>
          <w:lang w:val="en-US" w:eastAsia="zh-CN"/>
        </w:rPr>
        <w:t>供应商须无条件配合</w:t>
      </w:r>
      <w:r>
        <w:rPr>
          <w:rStyle w:val="62"/>
          <w:rFonts w:hint="default" w:ascii="仿宋" w:hAnsi="仿宋" w:eastAsia="仿宋" w:cs="仿宋"/>
          <w:b w:val="0"/>
          <w:bCs w:val="0"/>
          <w:color w:val="auto"/>
          <w:sz w:val="24"/>
          <w:szCs w:val="24"/>
          <w:highlight w:val="none"/>
          <w:lang w:val="en-US" w:eastAsia="zh-CN"/>
        </w:rPr>
        <w:t>应在接到通知后1</w:t>
      </w:r>
      <w:r>
        <w:rPr>
          <w:rStyle w:val="62"/>
          <w:rFonts w:hint="eastAsia" w:ascii="仿宋" w:hAnsi="仿宋" w:eastAsia="仿宋" w:cs="仿宋"/>
          <w:b w:val="0"/>
          <w:bCs w:val="0"/>
          <w:color w:val="auto"/>
          <w:sz w:val="24"/>
          <w:szCs w:val="24"/>
          <w:highlight w:val="none"/>
          <w:lang w:val="en-US" w:eastAsia="zh-CN"/>
        </w:rPr>
        <w:t>—</w:t>
      </w:r>
      <w:r>
        <w:rPr>
          <w:rStyle w:val="62"/>
          <w:rFonts w:hint="default" w:ascii="仿宋" w:hAnsi="仿宋" w:eastAsia="仿宋" w:cs="仿宋"/>
          <w:b w:val="0"/>
          <w:bCs w:val="0"/>
          <w:color w:val="auto"/>
          <w:sz w:val="24"/>
          <w:szCs w:val="24"/>
          <w:highlight w:val="none"/>
          <w:lang w:val="en-US" w:eastAsia="zh-CN"/>
        </w:rPr>
        <w:t>2小时内送达</w:t>
      </w:r>
      <w:r>
        <w:rPr>
          <w:rFonts w:hint="eastAsia" w:ascii="仿宋" w:hAnsi="仿宋" w:eastAsia="仿宋" w:cs="仿宋"/>
          <w:b w:val="0"/>
          <w:bCs w:val="0"/>
          <w:color w:val="auto"/>
          <w:sz w:val="24"/>
          <w:szCs w:val="24"/>
          <w:highlight w:val="none"/>
          <w:lang w:val="en-US" w:eastAsia="zh-CN"/>
        </w:rPr>
        <w:t>。节假日及交通拥堵时，供应商应提前备货并合理规划运输，确保准点。</w:t>
      </w:r>
    </w:p>
    <w:p w14:paraId="6A22CAB6">
      <w:pPr>
        <w:keepNext w:val="0"/>
        <w:keepLines w:val="0"/>
        <w:pageBreakBefore w:val="0"/>
        <w:numPr>
          <w:ilvl w:val="0"/>
          <w:numId w:val="0"/>
        </w:numPr>
        <w:kinsoku/>
        <w:wordWrap/>
        <w:overflowPunct/>
        <w:topLinePunct w:val="0"/>
        <w:autoSpaceDE/>
        <w:autoSpaceDN/>
        <w:bidi w:val="0"/>
        <w:adjustRightInd/>
        <w:snapToGrid/>
        <w:spacing w:line="500" w:lineRule="exact"/>
        <w:ind w:firstLine="482"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特别提示】因采购人经营的特殊性，春节、五一、中秋节国庆节期间员工集体上班、食堂正常供餐，节后另行安排调休。供应商须按正常工作日标准在法定节假日期间照常配送，不得以节假日为由拒绝、延迟或减少配送；节假日配送情况纳入供应商月度考核，违反的按本文件2.5.6、2.5.7及供应商考核相关条款处理。</w:t>
      </w:r>
    </w:p>
    <w:p w14:paraId="784EB82E">
      <w:pPr>
        <w:keepNext w:val="0"/>
        <w:keepLines w:val="0"/>
        <w:pageBreakBefore w:val="0"/>
        <w:widowControl w:val="0"/>
        <w:tabs>
          <w:tab w:val="left" w:pos="2513"/>
        </w:tabs>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2.5.7若供应商未在约定期限内交货、退换货，影响生产经营的。每出现一次，应按200元/次支付违约金。供应商以各种理由拒绝交付供应范围内货物的，每出现一次支付违约金2000元，并且违约方应承担守约方为实现本合同项下权益所支出的所有费用，包括但不限于律师费、诉讼费、执行费、鉴定费、保全费、保全保险费等费用。</w:t>
      </w:r>
    </w:p>
    <w:p w14:paraId="7F7E2B9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SA"/>
        </w:rPr>
        <w:t>2.6退换货</w:t>
      </w:r>
    </w:p>
    <w:p w14:paraId="2BF9AD23">
      <w:pPr>
        <w:keepNext w:val="0"/>
        <w:keepLines w:val="0"/>
        <w:pageBreakBefore w:val="0"/>
        <w:tabs>
          <w:tab w:val="left" w:pos="2513"/>
        </w:tabs>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2.6.1项目特殊需求定制产品，非品质问题不予退换；生鲜产品，非品质问题不予退换；大宗流通标品，三分之一有效期内，不影响二次销售情况下，有合理原因和需求，可以申请退换服务。 </w:t>
      </w:r>
    </w:p>
    <w:p w14:paraId="59C2E8AF">
      <w:pPr>
        <w:keepNext w:val="0"/>
        <w:keepLines w:val="0"/>
        <w:pageBreakBefore w:val="0"/>
        <w:widowControl w:val="0"/>
        <w:tabs>
          <w:tab w:val="left" w:pos="2513"/>
        </w:tabs>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2.6.2因供应商所供商品出现质量问题的，采购人应给予退货，由此产生的相关费用、损失由供应商承担。</w:t>
      </w:r>
    </w:p>
    <w:p w14:paraId="611F1469">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2.6.3保质期要求：供应商所供预包装食品（含乳制品、豆制品、干货、调味品等），交货时剩余保质期不得少于产品明示保质期的三分之二；保质期短于7天（含）的短保产品，剩余保质期不得少于明示保质期的二分之一。剩余保质期不满足上述要求或已过期的商品，采购人有权拒收并要求供应商退换。</w:t>
      </w:r>
    </w:p>
    <w:p w14:paraId="01AAC339">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2.6.4生鲜商品退换：水果、蔬菜、肉类（含禽类、水产）等生鲜商品，验收时发现腐烂、变质、发臭、霉变、注水、病变、虫蛀、明显机械损伤影响食用，或数量、规格不符的，采购人有权当场拒收并要求退换；供应商应在接到通知后2小时内完成补货或换货（紧急补货按2.5.6执行），补换货产生的运输等一切费用由供应商承担。</w:t>
      </w:r>
    </w:p>
    <w:p w14:paraId="04D4F4C6">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2.6.5退换货违约处理：</w:t>
      </w:r>
    </w:p>
    <w:p w14:paraId="2DD91B74">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（1）供应商未按约定时限完成退换货或补货的，按2.5.7约定支付违约金；影响采购人正常经营的，采购人有权另行采购，差价及相关损失由供应商承担。</w:t>
      </w:r>
    </w:p>
    <w:p w14:paraId="4CAAC2EB">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（2）同一商品因质量问题被退换累计3次的，或单批次退换货金额超过该批次供货金额10%的，采购人有权按该批次不合格商品货值的20%扣减货款作为违约金。</w:t>
      </w:r>
    </w:p>
    <w:p w14:paraId="356DC8C9">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（3）因供应</w:t>
      </w:r>
      <w:r>
        <w:rPr>
          <w:rFonts w:hint="eastAsia" w:ascii="仿宋" w:hAnsi="仿宋" w:eastAsia="仿宋" w:cs="仿宋"/>
          <w:b w:val="0"/>
          <w:bCs w:val="0"/>
          <w:color w:val="auto"/>
          <w:sz w:val="24"/>
          <w:szCs w:val="24"/>
          <w:highlight w:val="none"/>
          <w:lang w:val="en-US" w:eastAsia="zh-CN"/>
        </w:rPr>
        <w:t>腐烂变质肉类、变质蔬菜水果等不合格食材，造成食品安全事故或采购人损失的，按2.5.4、2.5.5及供应商考核相关条款处理，供应商承担全部责任及损失；情节严重的，采购人有权解除合同、不予退还履约保证金并依法追究其责任。</w:t>
      </w:r>
    </w:p>
    <w:p w14:paraId="18D317C5">
      <w:pPr>
        <w:keepNext w:val="0"/>
        <w:keepLines w:val="0"/>
        <w:pageBreakBefore w:val="0"/>
        <w:tabs>
          <w:tab w:val="left" w:pos="2513"/>
        </w:tabs>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2.7采购人有权从应付货款中直接扣除：</w:t>
      </w:r>
    </w:p>
    <w:p w14:paraId="44F10972">
      <w:pPr>
        <w:keepNext w:val="0"/>
        <w:keepLines w:val="0"/>
        <w:pageBreakBefore w:val="0"/>
        <w:tabs>
          <w:tab w:val="left" w:pos="2513"/>
        </w:tabs>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（1）供应商应承担的违约金、赔偿金；</w:t>
      </w:r>
    </w:p>
    <w:p w14:paraId="45F58D64">
      <w:pPr>
        <w:keepNext w:val="0"/>
        <w:keepLines w:val="0"/>
        <w:pageBreakBefore w:val="0"/>
        <w:tabs>
          <w:tab w:val="left" w:pos="2513"/>
        </w:tabs>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（2）不合格商品退货款；</w:t>
      </w:r>
    </w:p>
    <w:p w14:paraId="1BA586B9">
      <w:pPr>
        <w:keepNext w:val="0"/>
        <w:keepLines w:val="0"/>
        <w:pageBreakBefore w:val="0"/>
        <w:widowControl w:val="0"/>
        <w:tabs>
          <w:tab w:val="left" w:pos="2513"/>
        </w:tabs>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（3）采购人代垫的检测费、罚款等。</w:t>
      </w:r>
    </w:p>
    <w:p w14:paraId="43ED334A">
      <w:pPr>
        <w:keepNext w:val="0"/>
        <w:keepLines w:val="0"/>
        <w:pageBreakBefore w:val="0"/>
        <w:tabs>
          <w:tab w:val="left" w:pos="2513"/>
        </w:tabs>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2.8留样要求</w:t>
      </w:r>
    </w:p>
    <w:p w14:paraId="1032FE6F">
      <w:pPr>
        <w:keepNext w:val="0"/>
        <w:keepLines w:val="0"/>
        <w:pageBreakBefore w:val="0"/>
        <w:tabs>
          <w:tab w:val="left" w:pos="2513"/>
        </w:tabs>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供应商须对每次配送的所有食材逐品种留样，每品种≥125g，专用密闭容器盛放，0℃–8℃冷藏保存≥48小时，上锁专柜、专人管理。留样记录含：食材名称、品牌、规格、批次、留样量、留样时间、留样人、审核人，记录保存≥2年。高风险食材（肉/水产/熟食/豆制品）须逐批附检疫/溯源/农</w:t>
      </w:r>
      <w:r>
        <w:rPr>
          <w:rFonts w:hint="eastAsia" w:ascii="仿宋" w:hAnsi="仿宋" w:eastAsia="仿宋" w:cs="仿宋"/>
          <w:color w:val="auto"/>
          <w:sz w:val="24"/>
          <w:szCs w:val="24"/>
          <w:highlight w:val="none"/>
          <w:lang w:val="en-US" w:eastAsia="zh-CN"/>
        </w:rPr>
        <w:t>残报告，随货归档。</w:t>
      </w:r>
    </w:p>
    <w:p w14:paraId="7CD0BB66">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19" w:name="_Toc23397"/>
      <w:r>
        <w:rPr>
          <w:rFonts w:hint="eastAsia" w:ascii="仿宋" w:hAnsi="仿宋" w:eastAsia="仿宋" w:cs="仿宋"/>
          <w:b/>
          <w:color w:val="auto"/>
          <w:kern w:val="0"/>
          <w:sz w:val="24"/>
          <w:szCs w:val="24"/>
          <w:highlight w:val="none"/>
          <w:lang w:val="en-US" w:eastAsia="zh-CN" w:bidi="ar-SA"/>
        </w:rPr>
        <w:t>3.供应商资格要求</w:t>
      </w:r>
      <w:bookmarkEnd w:id="19"/>
    </w:p>
    <w:p w14:paraId="5A1D76A7">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本项目资格要求</w:t>
      </w:r>
    </w:p>
    <w:p w14:paraId="5E72BDCA">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（1）具有独立承担民事责任的能力，持有有效的营业执照；具有《食品经营许可证》，经营项目包含本次采购的全部食材品类。</w:t>
      </w:r>
    </w:p>
    <w:p w14:paraId="03001A62">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（2）具有良好的商业信誉和健全的财务会计制度；</w:t>
      </w:r>
    </w:p>
    <w:p w14:paraId="23534AB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（3）具有履行合同所必需的设备和专业技术能力；</w:t>
      </w:r>
    </w:p>
    <w:p w14:paraId="4025A8C7">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（4）有依法缴纳税收的良好记录；</w:t>
      </w:r>
    </w:p>
    <w:p w14:paraId="734BD476">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（5）参加本项目采购活动前三年内，在经营活动中没有重大违法记录，需提供“信用中国”及国家企业信用信息公示系统无违规记录截图佐证。</w:t>
      </w:r>
    </w:p>
    <w:p w14:paraId="761C1F2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（6）业绩要求：供应商近5年内（签订时间为2021年10月1日至响应文件递交截止时间前）独立承接过45万元以上行政事业单位或国企食堂供应项目，至少提供1个合同及发票扫描件。</w:t>
      </w:r>
    </w:p>
    <w:p w14:paraId="1CB83A4C">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其他要求</w:t>
      </w:r>
    </w:p>
    <w:p w14:paraId="596185E2">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（1）单位负责人为同一人或者存在直接控股、管理关系的不同供应商，不得参加同一合同项下的采购活动。</w:t>
      </w:r>
    </w:p>
    <w:p w14:paraId="3C7B7241">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2）供应商被“信用中国”网站列入失信被执行人和重大税收违法案件当事人名单的、被“中国政府采购网”网站列入政府采购严重违法失信行为记录名单（处罚期限尚未届满的），不得参与本项目的采购活动。</w:t>
      </w:r>
    </w:p>
    <w:p w14:paraId="477A91DE">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（3）供应商的分支机构不得参加本次采购，特殊行业（仅限于银行、保险、石油石化、电力、电信行业）供应商允许其分支机构参加本次采购。</w:t>
      </w:r>
    </w:p>
    <w:p w14:paraId="09E4691E">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20" w:name="_Toc26901"/>
      <w:r>
        <w:rPr>
          <w:rFonts w:hint="eastAsia" w:ascii="仿宋" w:hAnsi="仿宋" w:eastAsia="仿宋" w:cs="仿宋"/>
          <w:b/>
          <w:color w:val="auto"/>
          <w:kern w:val="0"/>
          <w:sz w:val="24"/>
          <w:szCs w:val="24"/>
          <w:highlight w:val="none"/>
          <w:lang w:val="en-US" w:eastAsia="zh-CN" w:bidi="ar-SA"/>
        </w:rPr>
        <w:t>4.供应商不得存在的情形</w:t>
      </w:r>
      <w:bookmarkEnd w:id="20"/>
    </w:p>
    <w:p w14:paraId="46AC5C6F">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供应商不得存在下列情形之一：</w:t>
      </w:r>
    </w:p>
    <w:p w14:paraId="49CA240D">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（1）与采购人存在利害关系且可能影响采购公正性；</w:t>
      </w:r>
    </w:p>
    <w:p w14:paraId="74433F3A">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（2）与本采购项目的其他供应商为同一个单位负责人；</w:t>
      </w:r>
    </w:p>
    <w:p w14:paraId="05252279">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（3）与本采购项目的其他供应商存在控股、管理关系；</w:t>
      </w:r>
    </w:p>
    <w:p w14:paraId="4352073B">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（4）被依法暂停或者取消投标资格；</w:t>
      </w:r>
    </w:p>
    <w:p w14:paraId="3B1105F4">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（5）被责令停产停业、暂扣或者吊销许可证、暂扣或者吊销执照；</w:t>
      </w:r>
    </w:p>
    <w:p w14:paraId="11CFA755">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（6）进入清算程序，或被宣告破产，或其他丧失履约能力的情形；</w:t>
      </w:r>
    </w:p>
    <w:p w14:paraId="65A6F371">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（7）在最近三年内发生重大产品质量问题（以相关行业主管部门的行政处罚决定或司法机关出具的有关法律文书为准）；</w:t>
      </w:r>
    </w:p>
    <w:p w14:paraId="0E8F2160">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（8）被工商行政管理机关在国家企业信用信息公示系统中列入严重违法失信企业名单；</w:t>
      </w:r>
    </w:p>
    <w:p w14:paraId="42C8B12D">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（9）被最高人民法院在“信用中国”网站（www.creditchina.gov.cn）或各级信用信息共享平台中列入失信被执行人名单；</w:t>
      </w:r>
    </w:p>
    <w:p w14:paraId="13CBC627">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（10）在近三年内供应商或其法定代表人、拟委任的项目负责人有行贿犯罪行为的（以检察机关职务犯罪预防部门出具的查询结果为准）；</w:t>
      </w:r>
    </w:p>
    <w:p w14:paraId="1C3477CD">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（11）法律法规规定的其他情形。</w:t>
      </w:r>
    </w:p>
    <w:bookmarkEnd w:id="17"/>
    <w:p w14:paraId="06F6E750">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21" w:name="_Toc90002"/>
      <w:r>
        <w:rPr>
          <w:rFonts w:hint="eastAsia" w:ascii="仿宋" w:hAnsi="仿宋" w:eastAsia="仿宋" w:cs="仿宋"/>
          <w:b/>
          <w:color w:val="auto"/>
          <w:kern w:val="0"/>
          <w:sz w:val="24"/>
          <w:szCs w:val="24"/>
          <w:highlight w:val="none"/>
          <w:lang w:val="en-US" w:eastAsia="zh-CN" w:bidi="ar-SA"/>
        </w:rPr>
        <w:t>5.</w:t>
      </w:r>
      <w:bookmarkEnd w:id="21"/>
      <w:r>
        <w:rPr>
          <w:rFonts w:hint="eastAsia" w:ascii="仿宋" w:hAnsi="仿宋" w:eastAsia="仿宋" w:cs="仿宋"/>
          <w:b/>
          <w:color w:val="auto"/>
          <w:kern w:val="0"/>
          <w:sz w:val="24"/>
          <w:szCs w:val="24"/>
          <w:highlight w:val="none"/>
          <w:lang w:val="en-US" w:eastAsia="zh-CN" w:bidi="ar-SA"/>
        </w:rPr>
        <w:t>响应保证金</w:t>
      </w:r>
    </w:p>
    <w:p w14:paraId="2948F3ED">
      <w:pPr>
        <w:spacing w:line="360" w:lineRule="auto"/>
        <w:ind w:firstLine="480" w:firstLineChars="200"/>
        <w:rPr>
          <w:rStyle w:val="62"/>
          <w:rFonts w:hint="eastAsia" w:ascii="仿宋" w:hAnsi="仿宋" w:eastAsia="仿宋" w:cs="仿宋"/>
          <w:b w:val="0"/>
          <w:bCs w:val="0"/>
          <w:color w:val="auto"/>
          <w:sz w:val="24"/>
          <w:highlight w:val="none"/>
          <w:lang w:val="en-US"/>
        </w:rPr>
      </w:pPr>
      <w:r>
        <w:rPr>
          <w:rFonts w:hint="eastAsia" w:ascii="仿宋" w:hAnsi="仿宋" w:eastAsia="仿宋" w:cs="仿宋"/>
          <w:color w:val="auto"/>
          <w:sz w:val="24"/>
          <w:szCs w:val="24"/>
          <w:highlight w:val="none"/>
          <w:lang w:val="en-US" w:eastAsia="zh-CN"/>
        </w:rPr>
        <w:t>5.1缴纳要</w:t>
      </w:r>
      <w:r>
        <w:rPr>
          <w:rFonts w:hint="eastAsia" w:ascii="仿宋" w:hAnsi="仿宋" w:eastAsia="仿宋" w:cs="仿宋"/>
          <w:b w:val="0"/>
          <w:bCs w:val="0"/>
          <w:color w:val="auto"/>
          <w:sz w:val="24"/>
          <w:szCs w:val="24"/>
          <w:highlight w:val="none"/>
          <w:lang w:val="en-US" w:eastAsia="zh-CN"/>
        </w:rPr>
        <w:t>求：供应商应在响应文件递交截止时间前，从本单位基本账户以转账或电汇方式缴纳</w:t>
      </w:r>
      <w:r>
        <w:rPr>
          <w:rStyle w:val="62"/>
          <w:rFonts w:hint="eastAsia" w:ascii="仿宋" w:hAnsi="仿宋" w:eastAsia="仿宋" w:cs="仿宋"/>
          <w:b w:val="0"/>
          <w:bCs w:val="0"/>
          <w:color w:val="auto"/>
          <w:sz w:val="24"/>
          <w:highlight w:val="none"/>
          <w:lang w:val="en-US" w:eastAsia="zh-CN"/>
        </w:rPr>
        <w:t>响应</w:t>
      </w:r>
      <w:r>
        <w:rPr>
          <w:rStyle w:val="62"/>
          <w:rFonts w:hint="eastAsia" w:ascii="仿宋" w:hAnsi="仿宋" w:eastAsia="仿宋" w:cs="仿宋"/>
          <w:b w:val="0"/>
          <w:bCs w:val="0"/>
          <w:color w:val="auto"/>
          <w:sz w:val="24"/>
          <w:highlight w:val="none"/>
          <w:lang w:val="en-US"/>
        </w:rPr>
        <w:t>保证金</w:t>
      </w:r>
      <w:r>
        <w:rPr>
          <w:rFonts w:hint="eastAsia" w:ascii="仿宋" w:hAnsi="仿宋" w:eastAsia="仿宋" w:cs="仿宋"/>
          <w:b w:val="0"/>
          <w:bCs w:val="0"/>
          <w:color w:val="auto"/>
          <w:sz w:val="24"/>
          <w:szCs w:val="24"/>
          <w:highlight w:val="none"/>
          <w:lang w:val="en-US" w:eastAsia="zh-CN"/>
        </w:rPr>
        <w:t>人民币10000元（壹万元整）</w:t>
      </w:r>
      <w:r>
        <w:rPr>
          <w:rStyle w:val="62"/>
          <w:rFonts w:hint="eastAsia" w:ascii="仿宋" w:hAnsi="仿宋" w:eastAsia="仿宋" w:cs="仿宋"/>
          <w:b w:val="0"/>
          <w:bCs w:val="0"/>
          <w:color w:val="auto"/>
          <w:sz w:val="24"/>
          <w:highlight w:val="none"/>
          <w:lang w:val="en-US"/>
        </w:rPr>
        <w:t>，如未按要求转入，将作无效</w:t>
      </w:r>
      <w:r>
        <w:rPr>
          <w:rStyle w:val="62"/>
          <w:rFonts w:hint="eastAsia" w:ascii="仿宋" w:hAnsi="仿宋" w:eastAsia="仿宋" w:cs="仿宋"/>
          <w:b w:val="0"/>
          <w:bCs w:val="0"/>
          <w:color w:val="auto"/>
          <w:sz w:val="24"/>
          <w:highlight w:val="none"/>
          <w:lang w:val="en-US" w:eastAsia="zh-Hans"/>
        </w:rPr>
        <w:t>响应</w:t>
      </w:r>
      <w:r>
        <w:rPr>
          <w:rStyle w:val="62"/>
          <w:rFonts w:hint="eastAsia" w:ascii="仿宋" w:hAnsi="仿宋" w:eastAsia="仿宋" w:cs="仿宋"/>
          <w:b w:val="0"/>
          <w:bCs w:val="0"/>
          <w:color w:val="auto"/>
          <w:sz w:val="24"/>
          <w:highlight w:val="none"/>
          <w:lang w:val="en-US"/>
        </w:rPr>
        <w:t>处理。</w:t>
      </w:r>
    </w:p>
    <w:p w14:paraId="7AB24A78">
      <w:pPr>
        <w:spacing w:line="360" w:lineRule="auto"/>
        <w:ind w:firstLine="480" w:firstLineChars="200"/>
        <w:rPr>
          <w:rStyle w:val="62"/>
          <w:rFonts w:hint="eastAsia" w:ascii="仿宋" w:hAnsi="仿宋" w:eastAsia="仿宋" w:cs="仿宋"/>
          <w:color w:val="auto"/>
          <w:sz w:val="24"/>
          <w:highlight w:val="none"/>
          <w:lang w:val="en-US" w:eastAsia="zh-CN"/>
        </w:rPr>
      </w:pPr>
      <w:r>
        <w:rPr>
          <w:rStyle w:val="62"/>
          <w:rFonts w:hint="eastAsia" w:ascii="仿宋" w:hAnsi="仿宋" w:eastAsia="仿宋" w:cs="仿宋"/>
          <w:b w:val="0"/>
          <w:bCs w:val="0"/>
          <w:color w:val="auto"/>
          <w:sz w:val="24"/>
          <w:highlight w:val="none"/>
          <w:lang w:val="en-US" w:eastAsia="zh-CN"/>
        </w:rPr>
        <w:t>收款单位：赣州旅投景</w:t>
      </w:r>
      <w:r>
        <w:rPr>
          <w:rStyle w:val="62"/>
          <w:rFonts w:hint="eastAsia" w:ascii="仿宋" w:hAnsi="仿宋" w:eastAsia="仿宋" w:cs="仿宋"/>
          <w:color w:val="auto"/>
          <w:sz w:val="24"/>
          <w:highlight w:val="none"/>
          <w:lang w:val="en-US" w:eastAsia="zh-CN"/>
        </w:rPr>
        <w:t>区管理集团有限公司</w:t>
      </w:r>
    </w:p>
    <w:p w14:paraId="5A89FA90">
      <w:pPr>
        <w:spacing w:line="360" w:lineRule="auto"/>
        <w:ind w:firstLine="480" w:firstLineChars="200"/>
        <w:rPr>
          <w:rStyle w:val="62"/>
          <w:rFonts w:hint="eastAsia" w:ascii="仿宋" w:hAnsi="仿宋" w:eastAsia="仿宋" w:cs="仿宋"/>
          <w:color w:val="auto"/>
          <w:sz w:val="24"/>
          <w:highlight w:val="none"/>
          <w:lang w:val="en-US" w:eastAsia="zh-CN"/>
        </w:rPr>
      </w:pPr>
      <w:r>
        <w:rPr>
          <w:rStyle w:val="62"/>
          <w:rFonts w:hint="eastAsia" w:ascii="仿宋" w:hAnsi="仿宋" w:eastAsia="仿宋" w:cs="仿宋"/>
          <w:color w:val="auto"/>
          <w:sz w:val="24"/>
          <w:highlight w:val="none"/>
          <w:lang w:val="en-US" w:eastAsia="zh-CN"/>
        </w:rPr>
        <w:t>开户行：九江银行赣州分行</w:t>
      </w:r>
    </w:p>
    <w:p w14:paraId="5320A6CF">
      <w:pPr>
        <w:spacing w:line="360" w:lineRule="auto"/>
        <w:ind w:firstLine="480" w:firstLineChars="200"/>
        <w:rPr>
          <w:rStyle w:val="62"/>
          <w:rFonts w:hint="eastAsia" w:ascii="仿宋" w:hAnsi="仿宋" w:eastAsia="仿宋" w:cs="仿宋"/>
          <w:color w:val="auto"/>
          <w:sz w:val="24"/>
          <w:highlight w:val="none"/>
          <w:lang w:val="en-US" w:eastAsia="zh-CN"/>
        </w:rPr>
      </w:pPr>
      <w:r>
        <w:rPr>
          <w:rStyle w:val="62"/>
          <w:rFonts w:hint="eastAsia" w:ascii="仿宋" w:hAnsi="仿宋" w:eastAsia="仿宋" w:cs="仿宋"/>
          <w:color w:val="auto"/>
          <w:sz w:val="24"/>
          <w:highlight w:val="none"/>
          <w:lang w:val="en-US" w:eastAsia="zh-CN"/>
        </w:rPr>
        <w:t>银行账号：2870 1940 0000 0007 25</w:t>
      </w:r>
    </w:p>
    <w:p w14:paraId="0E46062C">
      <w:pPr>
        <w:spacing w:line="360" w:lineRule="auto"/>
        <w:ind w:firstLine="475" w:firstLineChars="66"/>
        <w:rPr>
          <w:rStyle w:val="62"/>
          <w:rFonts w:hint="eastAsia" w:ascii="仿宋" w:hAnsi="仿宋" w:eastAsia="仿宋" w:cs="仿宋"/>
          <w:b/>
          <w:bCs/>
          <w:color w:val="auto"/>
          <w:sz w:val="24"/>
          <w:highlight w:val="none"/>
          <w:lang w:val="en-US" w:eastAsia="zh-CN"/>
        </w:rPr>
      </w:pPr>
      <w:r>
        <w:rPr>
          <w:rStyle w:val="62"/>
          <w:rFonts w:hint="eastAsia" w:ascii="仿宋" w:hAnsi="仿宋" w:eastAsia="仿宋" w:cs="仿宋"/>
          <w:color w:val="auto"/>
          <w:spacing w:val="240"/>
          <w:kern w:val="0"/>
          <w:sz w:val="24"/>
          <w:highlight w:val="none"/>
          <w:fitText w:val="960" w:id="1030906620"/>
          <w:lang w:val="en-US"/>
        </w:rPr>
        <w:t>附</w:t>
      </w:r>
      <w:r>
        <w:rPr>
          <w:rStyle w:val="62"/>
          <w:rFonts w:hint="eastAsia" w:ascii="仿宋" w:hAnsi="仿宋" w:eastAsia="仿宋" w:cs="仿宋"/>
          <w:color w:val="auto"/>
          <w:spacing w:val="0"/>
          <w:kern w:val="0"/>
          <w:sz w:val="24"/>
          <w:highlight w:val="none"/>
          <w:fitText w:val="960" w:id="1030906620"/>
          <w:lang w:val="en-US"/>
        </w:rPr>
        <w:t>言</w:t>
      </w:r>
      <w:r>
        <w:rPr>
          <w:rStyle w:val="62"/>
          <w:rFonts w:hint="eastAsia" w:ascii="仿宋" w:hAnsi="仿宋" w:eastAsia="仿宋" w:cs="仿宋"/>
          <w:color w:val="auto"/>
          <w:kern w:val="0"/>
          <w:sz w:val="24"/>
          <w:highlight w:val="none"/>
          <w:lang w:val="en-US"/>
        </w:rPr>
        <w:t>：</w:t>
      </w:r>
      <w:r>
        <w:rPr>
          <w:rStyle w:val="62"/>
          <w:rFonts w:hint="eastAsia" w:ascii="仿宋" w:hAnsi="仿宋" w:eastAsia="仿宋" w:cs="仿宋"/>
          <w:b/>
          <w:bCs/>
          <w:color w:val="auto"/>
          <w:sz w:val="24"/>
          <w:highlight w:val="none"/>
          <w:lang w:val="en-US" w:eastAsia="zh-CN"/>
        </w:rPr>
        <w:t>赣州旅投景区管理集团有限公司公司食堂食材供应－框架协议供应商入围征集项目响应保证金</w:t>
      </w:r>
    </w:p>
    <w:p w14:paraId="012D6572">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color w:val="auto"/>
          <w:sz w:val="24"/>
          <w:szCs w:val="24"/>
          <w:highlight w:val="none"/>
          <w:lang w:val="en-US" w:eastAsia="zh-Hans"/>
        </w:rPr>
      </w:pPr>
      <w:r>
        <w:rPr>
          <w:rStyle w:val="62"/>
          <w:rFonts w:hint="eastAsia" w:ascii="仿宋" w:hAnsi="仿宋" w:eastAsia="仿宋" w:cs="仿宋"/>
          <w:color w:val="auto"/>
          <w:sz w:val="24"/>
          <w:szCs w:val="24"/>
          <w:highlight w:val="none"/>
          <w:lang w:val="en-US"/>
        </w:rPr>
        <w:t>5.2响应保证金退还：</w:t>
      </w:r>
      <w:r>
        <w:rPr>
          <w:rStyle w:val="62"/>
          <w:rFonts w:hint="eastAsia" w:ascii="仿宋" w:hAnsi="仿宋" w:eastAsia="仿宋" w:cs="仿宋"/>
          <w:color w:val="auto"/>
          <w:sz w:val="24"/>
          <w:highlight w:val="none"/>
          <w:lang w:val="en-US"/>
        </w:rPr>
        <w:t>未中</w:t>
      </w:r>
      <w:r>
        <w:rPr>
          <w:rStyle w:val="62"/>
          <w:rFonts w:hint="eastAsia" w:ascii="仿宋" w:hAnsi="仿宋" w:eastAsia="仿宋" w:cs="仿宋"/>
          <w:color w:val="auto"/>
          <w:sz w:val="24"/>
          <w:highlight w:val="none"/>
          <w:lang w:val="en-US" w:eastAsia="zh-CN"/>
        </w:rPr>
        <w:t>选供应商</w:t>
      </w:r>
      <w:r>
        <w:rPr>
          <w:rStyle w:val="62"/>
          <w:rFonts w:hint="eastAsia" w:ascii="仿宋" w:hAnsi="仿宋" w:eastAsia="仿宋" w:cs="仿宋"/>
          <w:color w:val="auto"/>
          <w:sz w:val="24"/>
          <w:highlight w:val="none"/>
          <w:lang w:val="en-US"/>
        </w:rPr>
        <w:t>的</w:t>
      </w:r>
      <w:r>
        <w:rPr>
          <w:rStyle w:val="62"/>
          <w:rFonts w:hint="eastAsia" w:ascii="仿宋" w:hAnsi="仿宋" w:eastAsia="仿宋" w:cs="仿宋"/>
          <w:color w:val="auto"/>
          <w:sz w:val="24"/>
          <w:highlight w:val="none"/>
          <w:lang w:val="en-US" w:eastAsia="zh-CN"/>
        </w:rPr>
        <w:t>响应</w:t>
      </w:r>
      <w:r>
        <w:rPr>
          <w:rStyle w:val="62"/>
          <w:rFonts w:hint="eastAsia" w:ascii="仿宋" w:hAnsi="仿宋" w:eastAsia="仿宋" w:cs="仿宋"/>
          <w:color w:val="auto"/>
          <w:sz w:val="24"/>
          <w:highlight w:val="none"/>
          <w:lang w:val="en-US"/>
        </w:rPr>
        <w:t>保证金，在《</w:t>
      </w:r>
      <w:r>
        <w:rPr>
          <w:rStyle w:val="62"/>
          <w:rFonts w:hint="eastAsia" w:ascii="仿宋" w:hAnsi="仿宋" w:eastAsia="仿宋" w:cs="仿宋"/>
          <w:color w:val="auto"/>
          <w:sz w:val="24"/>
          <w:highlight w:val="none"/>
          <w:lang w:val="en-US" w:eastAsia="zh-CN"/>
        </w:rPr>
        <w:t>成交</w:t>
      </w:r>
      <w:r>
        <w:rPr>
          <w:rStyle w:val="62"/>
          <w:rFonts w:hint="eastAsia" w:ascii="仿宋" w:hAnsi="仿宋" w:eastAsia="仿宋" w:cs="仿宋"/>
          <w:color w:val="auto"/>
          <w:sz w:val="24"/>
          <w:highlight w:val="none"/>
          <w:lang w:val="en-US"/>
        </w:rPr>
        <w:t>通知书》发出</w:t>
      </w:r>
      <w:r>
        <w:rPr>
          <w:rStyle w:val="62"/>
          <w:rFonts w:hint="eastAsia" w:ascii="仿宋" w:hAnsi="仿宋" w:eastAsia="仿宋" w:cs="仿宋"/>
          <w:color w:val="auto"/>
          <w:sz w:val="24"/>
          <w:highlight w:val="none"/>
          <w:lang w:val="en-US" w:eastAsia="zh-CN"/>
        </w:rPr>
        <w:t>后14</w:t>
      </w:r>
      <w:r>
        <w:rPr>
          <w:rStyle w:val="62"/>
          <w:rFonts w:hint="eastAsia" w:ascii="仿宋" w:hAnsi="仿宋" w:eastAsia="仿宋" w:cs="仿宋"/>
          <w:color w:val="auto"/>
          <w:sz w:val="24"/>
          <w:highlight w:val="none"/>
          <w:lang w:val="en-US"/>
        </w:rPr>
        <w:t>个工作日内无息退还，</w:t>
      </w:r>
      <w:r>
        <w:rPr>
          <w:rStyle w:val="62"/>
          <w:rFonts w:hint="eastAsia" w:ascii="仿宋" w:hAnsi="仿宋" w:eastAsia="仿宋" w:cs="仿宋"/>
          <w:color w:val="auto"/>
          <w:sz w:val="24"/>
          <w:highlight w:val="none"/>
          <w:lang w:val="en-US" w:eastAsia="zh-CN"/>
        </w:rPr>
        <w:t>存在</w:t>
      </w:r>
      <w:r>
        <w:rPr>
          <w:rStyle w:val="62"/>
          <w:rFonts w:hint="eastAsia" w:ascii="仿宋" w:hAnsi="仿宋" w:eastAsia="仿宋" w:cs="仿宋"/>
          <w:color w:val="auto"/>
          <w:sz w:val="24"/>
          <w:highlight w:val="none"/>
          <w:lang w:val="en-US"/>
        </w:rPr>
        <w:t>质疑或投诉时，在质疑或投诉处理完毕后</w:t>
      </w:r>
      <w:r>
        <w:rPr>
          <w:rStyle w:val="62"/>
          <w:rFonts w:hint="eastAsia" w:ascii="仿宋" w:hAnsi="仿宋" w:eastAsia="仿宋" w:cs="仿宋"/>
          <w:color w:val="auto"/>
          <w:sz w:val="24"/>
          <w:highlight w:val="none"/>
          <w:lang w:val="en-US" w:eastAsia="zh-CN"/>
        </w:rPr>
        <w:t>14</w:t>
      </w:r>
      <w:r>
        <w:rPr>
          <w:rStyle w:val="62"/>
          <w:rFonts w:hint="eastAsia" w:ascii="仿宋" w:hAnsi="仿宋" w:eastAsia="仿宋" w:cs="仿宋"/>
          <w:color w:val="auto"/>
          <w:sz w:val="24"/>
          <w:highlight w:val="none"/>
          <w:lang w:val="en-US"/>
        </w:rPr>
        <w:t>个工作日内无息退还。</w:t>
      </w:r>
      <w:r>
        <w:rPr>
          <w:rStyle w:val="62"/>
          <w:rFonts w:hint="eastAsia" w:ascii="仿宋" w:hAnsi="仿宋" w:eastAsia="仿宋" w:cs="仿宋"/>
          <w:color w:val="auto"/>
          <w:sz w:val="24"/>
          <w:highlight w:val="none"/>
          <w:lang w:val="en-US" w:eastAsia="zh-CN"/>
        </w:rPr>
        <w:t>成交供应商</w:t>
      </w:r>
      <w:r>
        <w:rPr>
          <w:rStyle w:val="62"/>
          <w:rFonts w:hint="eastAsia" w:ascii="仿宋" w:hAnsi="仿宋" w:eastAsia="仿宋" w:cs="仿宋"/>
          <w:color w:val="auto"/>
          <w:sz w:val="24"/>
          <w:highlight w:val="none"/>
          <w:lang w:val="en-US"/>
        </w:rPr>
        <w:t>的</w:t>
      </w:r>
      <w:r>
        <w:rPr>
          <w:rStyle w:val="62"/>
          <w:rFonts w:hint="eastAsia" w:ascii="仿宋" w:hAnsi="仿宋" w:eastAsia="仿宋" w:cs="仿宋"/>
          <w:color w:val="auto"/>
          <w:sz w:val="24"/>
          <w:highlight w:val="none"/>
          <w:lang w:val="en-US" w:eastAsia="zh-CN"/>
        </w:rPr>
        <w:t>响应</w:t>
      </w:r>
      <w:r>
        <w:rPr>
          <w:rStyle w:val="62"/>
          <w:rFonts w:hint="eastAsia" w:ascii="仿宋" w:hAnsi="仿宋" w:eastAsia="仿宋" w:cs="仿宋"/>
          <w:color w:val="auto"/>
          <w:sz w:val="24"/>
          <w:highlight w:val="none"/>
          <w:lang w:val="en-US"/>
        </w:rPr>
        <w:t>保证金，在合同签订后</w:t>
      </w:r>
      <w:r>
        <w:rPr>
          <w:rStyle w:val="62"/>
          <w:rFonts w:hint="eastAsia" w:ascii="仿宋" w:hAnsi="仿宋" w:eastAsia="仿宋" w:cs="仿宋"/>
          <w:color w:val="auto"/>
          <w:sz w:val="24"/>
          <w:highlight w:val="none"/>
          <w:lang w:val="en-US" w:eastAsia="zh-CN"/>
        </w:rPr>
        <w:t>14</w:t>
      </w:r>
      <w:r>
        <w:rPr>
          <w:rStyle w:val="62"/>
          <w:rFonts w:hint="eastAsia" w:ascii="仿宋" w:hAnsi="仿宋" w:eastAsia="仿宋" w:cs="仿宋"/>
          <w:color w:val="auto"/>
          <w:sz w:val="24"/>
          <w:highlight w:val="none"/>
          <w:lang w:val="en-US"/>
        </w:rPr>
        <w:t>个工作日内无息退还</w:t>
      </w:r>
      <w:r>
        <w:rPr>
          <w:rStyle w:val="62"/>
          <w:rFonts w:hint="eastAsia" w:ascii="仿宋" w:hAnsi="仿宋" w:eastAsia="仿宋" w:cs="仿宋"/>
          <w:color w:val="auto"/>
          <w:sz w:val="24"/>
          <w:szCs w:val="24"/>
          <w:highlight w:val="none"/>
          <w:lang w:val="en-US"/>
        </w:rPr>
        <w:t>。</w:t>
      </w:r>
    </w:p>
    <w:p w14:paraId="7CAD19F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color w:val="auto"/>
          <w:sz w:val="24"/>
          <w:szCs w:val="24"/>
          <w:highlight w:val="none"/>
          <w:lang w:val="en-US" w:eastAsia="zh-Hans"/>
        </w:rPr>
      </w:pPr>
      <w:r>
        <w:rPr>
          <w:rStyle w:val="62"/>
          <w:rFonts w:hint="eastAsia" w:ascii="仿宋" w:hAnsi="仿宋" w:eastAsia="仿宋" w:cs="仿宋"/>
          <w:color w:val="auto"/>
          <w:sz w:val="24"/>
          <w:szCs w:val="24"/>
          <w:highlight w:val="none"/>
          <w:lang w:val="en-US"/>
        </w:rPr>
        <w:t>5.3响应保证金不予退还的情形：供应商有下列情形之一的，采购人有权不予退还其响应保证金：</w:t>
      </w:r>
    </w:p>
    <w:p w14:paraId="0A673E8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color w:val="auto"/>
          <w:sz w:val="24"/>
          <w:highlight w:val="none"/>
          <w:lang w:val="en-US"/>
        </w:rPr>
      </w:pPr>
      <w:r>
        <w:rPr>
          <w:rStyle w:val="62"/>
          <w:rFonts w:hint="eastAsia" w:ascii="仿宋" w:hAnsi="仿宋" w:eastAsia="仿宋" w:cs="仿宋"/>
          <w:b w:val="0"/>
          <w:bCs/>
          <w:color w:val="auto"/>
          <w:sz w:val="24"/>
          <w:highlight w:val="none"/>
          <w:lang w:val="en-US" w:eastAsia="zh-CN"/>
        </w:rPr>
        <w:t>（1）成交供应商无正当理由不与采购人签订合同的；</w:t>
      </w:r>
    </w:p>
    <w:p w14:paraId="149EBE9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color w:val="auto"/>
          <w:sz w:val="24"/>
          <w:highlight w:val="none"/>
          <w:lang w:val="en-US"/>
        </w:rPr>
      </w:pPr>
      <w:r>
        <w:rPr>
          <w:rStyle w:val="62"/>
          <w:rFonts w:hint="eastAsia" w:ascii="仿宋" w:hAnsi="仿宋" w:eastAsia="仿宋" w:cs="仿宋"/>
          <w:b w:val="0"/>
          <w:bCs/>
          <w:color w:val="auto"/>
          <w:sz w:val="24"/>
          <w:highlight w:val="none"/>
          <w:lang w:val="en-US" w:eastAsia="zh-CN"/>
        </w:rPr>
        <w:t>（2）供应商未在规定期限内提交履约保证金的；</w:t>
      </w:r>
    </w:p>
    <w:p w14:paraId="71FCFD5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color w:val="auto"/>
          <w:sz w:val="24"/>
          <w:highlight w:val="none"/>
          <w:lang w:val="en-US"/>
        </w:rPr>
      </w:pPr>
      <w:r>
        <w:rPr>
          <w:rStyle w:val="62"/>
          <w:rFonts w:hint="eastAsia" w:ascii="仿宋" w:hAnsi="仿宋" w:eastAsia="仿宋" w:cs="仿宋"/>
          <w:b w:val="0"/>
          <w:bCs/>
          <w:color w:val="auto"/>
          <w:sz w:val="24"/>
          <w:highlight w:val="none"/>
          <w:lang w:val="en-US" w:eastAsia="zh-CN"/>
        </w:rPr>
        <w:t>（3）供应商提供虚假材料或虚假陈述的；</w:t>
      </w:r>
    </w:p>
    <w:p w14:paraId="19CBDED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color w:val="auto"/>
          <w:sz w:val="24"/>
          <w:highlight w:val="none"/>
          <w:lang w:val="en-US"/>
        </w:rPr>
      </w:pPr>
      <w:r>
        <w:rPr>
          <w:rStyle w:val="62"/>
          <w:rFonts w:hint="eastAsia" w:ascii="仿宋" w:hAnsi="仿宋" w:eastAsia="仿宋" w:cs="仿宋"/>
          <w:b w:val="0"/>
          <w:bCs/>
          <w:color w:val="auto"/>
          <w:sz w:val="24"/>
          <w:highlight w:val="none"/>
          <w:lang w:val="en-US" w:eastAsia="zh-CN"/>
        </w:rPr>
        <w:t>（4）供应商串通投标的；</w:t>
      </w:r>
    </w:p>
    <w:p w14:paraId="3C0E3D5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b w:val="0"/>
          <w:bCs/>
          <w:color w:val="auto"/>
          <w:highlight w:val="none"/>
        </w:rPr>
      </w:pPr>
      <w:r>
        <w:rPr>
          <w:rStyle w:val="62"/>
          <w:rFonts w:hint="eastAsia" w:ascii="仿宋" w:hAnsi="仿宋" w:eastAsia="仿宋" w:cs="仿宋"/>
          <w:b w:val="0"/>
          <w:bCs/>
          <w:color w:val="auto"/>
          <w:sz w:val="24"/>
          <w:highlight w:val="none"/>
          <w:lang w:val="en-US" w:eastAsia="zh-CN"/>
        </w:rPr>
        <w:t>（5）供应商在征集文件规定的响应有效期内撤回其响应文件的；</w:t>
      </w:r>
    </w:p>
    <w:p w14:paraId="238AF95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color w:val="auto"/>
          <w:sz w:val="24"/>
          <w:szCs w:val="24"/>
          <w:highlight w:val="none"/>
          <w:lang w:val="en-US"/>
        </w:rPr>
      </w:pPr>
      <w:r>
        <w:rPr>
          <w:rStyle w:val="62"/>
          <w:rFonts w:hint="eastAsia" w:ascii="仿宋" w:hAnsi="仿宋" w:eastAsia="仿宋" w:cs="仿宋"/>
          <w:b w:val="0"/>
          <w:bCs/>
          <w:color w:val="auto"/>
          <w:sz w:val="24"/>
          <w:highlight w:val="none"/>
          <w:lang w:val="en-US" w:eastAsia="zh-CN"/>
        </w:rPr>
        <w:t>（6）被确定为签约供应商后，无正当理由（包括以自身报价下浮过高无法履约等）放弃签约、拒绝签订合同的；</w:t>
      </w:r>
    </w:p>
    <w:p w14:paraId="0B21BFB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color w:val="auto"/>
          <w:sz w:val="24"/>
          <w:szCs w:val="24"/>
          <w:highlight w:val="none"/>
          <w:lang w:val="en-US" w:eastAsia="zh-Hans"/>
        </w:rPr>
      </w:pPr>
      <w:r>
        <w:rPr>
          <w:rStyle w:val="62"/>
          <w:rFonts w:hint="eastAsia" w:ascii="仿宋" w:hAnsi="仿宋" w:eastAsia="仿宋" w:cs="仿宋"/>
          <w:b w:val="0"/>
          <w:bCs/>
          <w:color w:val="auto"/>
          <w:sz w:val="24"/>
          <w:highlight w:val="none"/>
          <w:lang w:val="en-US" w:eastAsia="zh-CN"/>
        </w:rPr>
        <w:t>（7）在响应活动中有其他违反征集文件规定、损害采购人合法权益行为的。</w:t>
      </w:r>
    </w:p>
    <w:p w14:paraId="2A10B13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5.4响应保证金不予退还的，采购人有权将款项用于弥补由此造成的损失，不足部分由供应商另行承担；涉嫌违法犯罪的，依法移送有关机关处理。</w:t>
      </w:r>
    </w:p>
    <w:p w14:paraId="6F92D750">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22" w:name="_Toc9786"/>
      <w:r>
        <w:rPr>
          <w:rFonts w:hint="eastAsia" w:ascii="仿宋" w:hAnsi="仿宋" w:eastAsia="仿宋" w:cs="仿宋"/>
          <w:b/>
          <w:color w:val="auto"/>
          <w:kern w:val="0"/>
          <w:sz w:val="24"/>
          <w:szCs w:val="24"/>
          <w:highlight w:val="none"/>
          <w:lang w:val="en-US" w:eastAsia="zh-CN" w:bidi="ar-SA"/>
        </w:rPr>
        <w:t>6.合同价款</w:t>
      </w:r>
      <w:bookmarkEnd w:id="22"/>
    </w:p>
    <w:p w14:paraId="0DA7400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ascii="仿宋" w:hAnsi="仿宋" w:eastAsia="仿宋"/>
          <w:color w:val="auto"/>
          <w:sz w:val="24"/>
          <w:highlight w:val="none"/>
        </w:rPr>
        <w:t>6.1合同价款：采购金额约72.56万元。每次采购以采购人实际购买发生数量和本合同价格约定方式确定价款，经双方确认后据实书面结算。</w:t>
      </w:r>
      <w:r>
        <w:rPr>
          <w:rFonts w:ascii="仿宋" w:hAnsi="仿宋" w:eastAsia="仿宋"/>
          <w:b/>
          <w:bCs/>
          <w:color w:val="auto"/>
          <w:sz w:val="24"/>
          <w:highlight w:val="none"/>
        </w:rPr>
        <w:t>【重点标注】</w:t>
      </w:r>
      <w:r>
        <w:rPr>
          <w:rFonts w:ascii="仿宋" w:hAnsi="仿宋" w:eastAsia="仿宋"/>
          <w:color w:val="auto"/>
          <w:sz w:val="24"/>
          <w:highlight w:val="none"/>
        </w:rPr>
        <w:t>本项目采购范围包含团购产品</w:t>
      </w:r>
      <w:r>
        <w:rPr>
          <w:rFonts w:ascii="仿宋" w:hAnsi="仿宋" w:eastAsia="仿宋"/>
          <w:b w:val="0"/>
          <w:bCs w:val="0"/>
          <w:color w:val="auto"/>
          <w:sz w:val="24"/>
          <w:highlight w:val="none"/>
        </w:rPr>
        <w:t>（如赣南特色食品、牛奶、纸巾、粮油、水果等，约一季度进行一次团购），其采购金额约占采购总额的31%，团购产品应优先选用市场认可度高的知名品牌，例如：食用油品牌选用鲁花；牛奶品牌选用伊利、蒙牛或欧亚；纸巾品牌选用心相印或维达；其他团购产品也应选用相应品类中的知名品牌。详细情况供应商</w:t>
      </w:r>
      <w:r>
        <w:rPr>
          <w:rFonts w:hint="eastAsia" w:ascii="仿宋" w:hAnsi="仿宋" w:eastAsia="仿宋"/>
          <w:b w:val="0"/>
          <w:bCs w:val="0"/>
          <w:color w:val="auto"/>
          <w:sz w:val="24"/>
          <w:highlight w:val="none"/>
          <w:lang w:val="en-US" w:eastAsia="zh-CN"/>
        </w:rPr>
        <w:t>可以</w:t>
      </w:r>
      <w:r>
        <w:rPr>
          <w:rFonts w:ascii="仿宋" w:hAnsi="仿宋" w:eastAsia="仿宋"/>
          <w:b w:val="0"/>
          <w:bCs w:val="0"/>
          <w:color w:val="auto"/>
          <w:sz w:val="24"/>
          <w:highlight w:val="none"/>
        </w:rPr>
        <w:t>与采购人电话联系或现场踏勘确认。供应商须具备上述团购产品的稳定供应能力，确保所供团购产品质量合格、价格合理、品类齐全，并按采购人要求及时、足量配送；团购产品的报价及结算按3KM范围内各超市特价售价并取最低执行，不再另行下浮。</w:t>
      </w:r>
    </w:p>
    <w:p w14:paraId="29C9535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6.2合同价款已包含产品价格、税金、运输、运输保险费、加工费、包装费、搬运费、卸货费用及验收合格前其他所有费用，供应商不得收取其他任何费用。</w:t>
      </w:r>
    </w:p>
    <w:p w14:paraId="177C570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6.3市场价格调整方式：供应商每月25日提供次月采购单价基准值。采购单价基准值计算方式为：</w:t>
      </w:r>
      <w:r>
        <w:rPr>
          <w:rStyle w:val="62"/>
          <w:rFonts w:hint="eastAsia" w:ascii="仿宋" w:hAnsi="仿宋" w:eastAsia="仿宋" w:cs="仿宋"/>
          <w:b/>
          <w:bCs w:val="0"/>
          <w:color w:val="auto"/>
          <w:sz w:val="24"/>
          <w:szCs w:val="24"/>
          <w:highlight w:val="none"/>
          <w:lang w:val="en-US" w:eastAsia="zh-CN"/>
        </w:rPr>
        <w:t>供应商统计江南宋城景区3km范围内大型超市（</w:t>
      </w:r>
      <w:r>
        <w:rPr>
          <w:rFonts w:hint="eastAsia" w:ascii="仿宋" w:hAnsi="仿宋" w:eastAsia="仿宋" w:cs="仿宋"/>
          <w:b/>
          <w:bCs w:val="0"/>
          <w:color w:val="auto"/>
          <w:sz w:val="24"/>
          <w:szCs w:val="24"/>
          <w:highlight w:val="none"/>
          <w:lang w:val="en-US" w:eastAsia="zh-CN"/>
        </w:rPr>
        <w:t>暂以大润发国际时代店、国光超市步步高店、百户超市健康路店售价作参考</w:t>
      </w:r>
      <w:r>
        <w:rPr>
          <w:rStyle w:val="62"/>
          <w:rFonts w:hint="eastAsia" w:ascii="仿宋" w:hAnsi="仿宋" w:eastAsia="仿宋" w:cs="仿宋"/>
          <w:b/>
          <w:bCs w:val="0"/>
          <w:color w:val="auto"/>
          <w:sz w:val="24"/>
          <w:szCs w:val="24"/>
          <w:highlight w:val="none"/>
          <w:lang w:val="en-US" w:eastAsia="zh-CN"/>
        </w:rPr>
        <w:t>，若超市经营情况出现变化，则另选其他超市）所供应的同类产品价格台账</w:t>
      </w:r>
      <w:r>
        <w:rPr>
          <w:rStyle w:val="62"/>
          <w:rFonts w:hint="eastAsia" w:ascii="仿宋" w:hAnsi="仿宋" w:eastAsia="仿宋" w:cs="仿宋"/>
          <w:b w:val="0"/>
          <w:bCs w:val="0"/>
          <w:color w:val="auto"/>
          <w:sz w:val="24"/>
          <w:szCs w:val="24"/>
          <w:highlight w:val="none"/>
          <w:lang w:val="en-US" w:eastAsia="zh-CN"/>
        </w:rPr>
        <w:t>，提供影像资料佐证，对供应的同类产品供应价取平均值，得出次月该类产品的结算采购单价基准值，若存在某产品在上述某超市不销售的情况，则从剩余超市售价中取平均，若上述超市均不销售，则从周边其他超市或农贸市场调研定价。</w:t>
      </w:r>
    </w:p>
    <w:p w14:paraId="6AB9E68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为防止供应商虚报价格，采购人有权不定期对供应商供货价格进行抽查。经核实，供应商所供食材价格高于当期采购单价基准值的，高出部分价款在当月结算价款中扣除，并按次收取违约金5000元，一并在当月结算价款中扣除。累计发生3次及以上的，采购人有权单方解除合同，并不予退还履约保证金，由此产生的全部责任和损失由供应商承担。</w:t>
      </w:r>
    </w:p>
    <w:p w14:paraId="7CACE85E">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bCs w:val="0"/>
          <w:color w:val="auto"/>
          <w:sz w:val="24"/>
          <w:szCs w:val="24"/>
          <w:highlight w:val="none"/>
          <w:lang w:val="en-US" w:eastAsia="zh-CN"/>
        </w:rPr>
        <w:t>当月结算金额按实际供货数量乘以当月采购单价基准值汇总后，统一适用3%下浮及供应商报价下浮率计算（即结算金额 = （当月采购单价基准值 × 实际供货量）× 0.97 × （1 - 报价下浮率））。</w:t>
      </w:r>
    </w:p>
    <w:p w14:paraId="00CDE108">
      <w:pPr>
        <w:pStyle w:val="63"/>
        <w:keepNext w:val="0"/>
        <w:keepLines w:val="0"/>
        <w:pageBreakBefore w:val="0"/>
        <w:shd w:val="clear" w:color="auto" w:fill="FFFFFF"/>
        <w:kinsoku/>
        <w:wordWrap/>
        <w:overflowPunct/>
        <w:topLinePunct w:val="0"/>
        <w:autoSpaceDE/>
        <w:autoSpaceDN/>
        <w:bidi w:val="0"/>
        <w:adjustRightInd/>
        <w:snapToGrid/>
        <w:spacing w:line="500" w:lineRule="exact"/>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color w:val="auto"/>
          <w:sz w:val="24"/>
          <w:szCs w:val="24"/>
          <w:highlight w:val="none"/>
          <w:lang w:val="en-US" w:eastAsia="zh-CN"/>
        </w:rPr>
        <w:t>6.4附件2：采购清单中所有产品细目的数量为期间内采购数量，具体用量根据实际经营情况决定，采购人要求提供采购清单以外的产品也需按6.3所述规则进行市场询价及下浮定价保障供应。</w:t>
      </w:r>
      <w:r>
        <w:rPr>
          <w:rFonts w:hint="eastAsia" w:ascii="仿宋" w:hAnsi="仿宋" w:eastAsia="仿宋" w:cs="仿宋"/>
          <w:b/>
          <w:bCs/>
          <w:color w:val="auto"/>
          <w:sz w:val="24"/>
          <w:szCs w:val="24"/>
          <w:highlight w:val="none"/>
          <w:lang w:val="en-US" w:eastAsia="zh-CN"/>
        </w:rPr>
        <w:t>团购产品的报价及结算按3KM范围内各超市特价售价并取最低执行，不再另行下浮。</w:t>
      </w:r>
    </w:p>
    <w:p w14:paraId="4046025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6.5本次采购无论供应商为小规模纳税人或一般纳税人，均须提供足额税率增值税专用发票，免税农产品可提供免税发票，小规模纳税人供应免税范围外【初级农产品】需提供3%征收率专票，按发票不含税金额×9%计算抵扣进项。其余产品则在不含税采购价基础上，付款时扣除因进项不足导致采购人的税负损失，计算方式为：扣除金额=不含税采购价×（一般纳税人税率-小规模纳税人税率）×（1+采购人附加税率），请各小规模纳税人综合考虑后进行响应下浮报价。</w:t>
      </w:r>
    </w:p>
    <w:p w14:paraId="4414B6B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举例</w:t>
      </w:r>
    </w:p>
    <w:p w14:paraId="5528BAA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color w:val="auto"/>
          <w:sz w:val="24"/>
          <w:szCs w:val="24"/>
          <w:highlight w:val="none"/>
          <w:lang w:val="en-US" w:eastAsia="zh-CN"/>
        </w:rPr>
        <w:t>中标供应商为小规模纳税人，税率3</w:t>
      </w:r>
      <w:r>
        <w:rPr>
          <w:rStyle w:val="62"/>
          <w:rFonts w:hint="eastAsia" w:ascii="仿宋" w:hAnsi="仿宋" w:eastAsia="仿宋" w:cs="仿宋"/>
          <w:b w:val="0"/>
          <w:bCs w:val="0"/>
          <w:color w:val="auto"/>
          <w:sz w:val="24"/>
          <w:szCs w:val="24"/>
          <w:highlight w:val="none"/>
          <w:lang w:val="en-US" w:eastAsia="zh-CN"/>
        </w:rPr>
        <w:t>%，供货商品对应的增值税一般纳税人适用税率13%，不含税中标价100元，采购人增值税附加税率12%</w:t>
      </w:r>
    </w:p>
    <w:p w14:paraId="5BF5A71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结算付款扣除金额=100×（13%-3%）×（1+12%）=11.2元</w:t>
      </w:r>
    </w:p>
    <w:p w14:paraId="535167A8">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23" w:name="_Toc21855"/>
      <w:r>
        <w:rPr>
          <w:rFonts w:hint="eastAsia" w:ascii="仿宋" w:hAnsi="仿宋" w:eastAsia="仿宋" w:cs="仿宋"/>
          <w:b/>
          <w:color w:val="auto"/>
          <w:kern w:val="0"/>
          <w:sz w:val="24"/>
          <w:szCs w:val="24"/>
          <w:highlight w:val="none"/>
          <w:lang w:val="en-US" w:eastAsia="zh-CN" w:bidi="ar-SA"/>
        </w:rPr>
        <w:t>7.框架协议签订与正式合同签约</w:t>
      </w:r>
      <w:bookmarkEnd w:id="23"/>
    </w:p>
    <w:p w14:paraId="19E2F4B3">
      <w:pPr>
        <w:pStyle w:val="63"/>
        <w:keepNext w:val="0"/>
        <w:keepLines w:val="0"/>
        <w:pageBreakBefore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7.1框架协议签订</w:t>
      </w:r>
    </w:p>
    <w:p w14:paraId="06C52600">
      <w:pPr>
        <w:pStyle w:val="63"/>
        <w:keepNext w:val="0"/>
        <w:keepLines w:val="0"/>
        <w:pageBreakBefore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入围供应商应按其有效报价下浮率，与采购人签订框架协议，明确双方合作框架及价格基准。</w:t>
      </w:r>
    </w:p>
    <w:p w14:paraId="0688EBB5">
      <w:pPr>
        <w:pStyle w:val="63"/>
        <w:keepNext w:val="0"/>
        <w:keepLines w:val="0"/>
        <w:pageBreakBefore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7.2正式采购合同签约</w:t>
      </w:r>
    </w:p>
    <w:p w14:paraId="3B6E4D9B">
      <w:pPr>
        <w:pStyle w:val="63"/>
        <w:keepNext w:val="0"/>
        <w:keepLines w:val="0"/>
        <w:pageBreakBefore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采购人应从入围供应商中，按照有效报价下浮率由高至低的顺序，确定排名第一的供应商为签约供应商，并与其签订正式采购合同。若排名第一的供应商出现下列情形之一，采购人可按评审排名顺序依次与后续供应商签约：</w:t>
      </w:r>
    </w:p>
    <w:p w14:paraId="587B8432">
      <w:pPr>
        <w:pStyle w:val="6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kern w:val="2"/>
          <w:sz w:val="24"/>
          <w:szCs w:val="24"/>
          <w:highlight w:val="none"/>
          <w:lang w:val="en-US" w:eastAsia="zh-CN" w:bidi="ar-SA"/>
        </w:rPr>
        <w:t>（1）</w:t>
      </w:r>
      <w:r>
        <w:rPr>
          <w:rStyle w:val="62"/>
          <w:rFonts w:hint="eastAsia" w:ascii="仿宋" w:hAnsi="仿宋" w:eastAsia="仿宋" w:cs="仿宋"/>
          <w:b w:val="0"/>
          <w:bCs w:val="0"/>
          <w:color w:val="auto"/>
          <w:sz w:val="24"/>
          <w:szCs w:val="24"/>
          <w:highlight w:val="none"/>
          <w:lang w:val="en-US" w:eastAsia="zh-CN"/>
        </w:rPr>
        <w:t>放弃签约的；</w:t>
      </w:r>
    </w:p>
    <w:p w14:paraId="4FB05B8E">
      <w:pPr>
        <w:pStyle w:val="6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kern w:val="2"/>
          <w:sz w:val="24"/>
          <w:szCs w:val="24"/>
          <w:highlight w:val="none"/>
          <w:lang w:val="en-US" w:eastAsia="zh-CN" w:bidi="ar-SA"/>
        </w:rPr>
        <w:t>（2）</w:t>
      </w:r>
      <w:r>
        <w:rPr>
          <w:rStyle w:val="62"/>
          <w:rFonts w:hint="eastAsia" w:ascii="仿宋" w:hAnsi="仿宋" w:eastAsia="仿宋" w:cs="仿宋"/>
          <w:b w:val="0"/>
          <w:bCs w:val="0"/>
          <w:color w:val="auto"/>
          <w:sz w:val="24"/>
          <w:szCs w:val="24"/>
          <w:highlight w:val="none"/>
          <w:lang w:val="en-US" w:eastAsia="zh-CN"/>
        </w:rPr>
        <w:t>因不可抗力不能履行合同的；</w:t>
      </w:r>
    </w:p>
    <w:p w14:paraId="7936ADF0">
      <w:pPr>
        <w:pStyle w:val="6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（3）未能在规定期限内提交履约保证金的；</w:t>
      </w:r>
    </w:p>
    <w:p w14:paraId="0D95BD39">
      <w:pPr>
        <w:pStyle w:val="6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（4）供应商履约过程因考核被取消供应资格的。</w:t>
      </w:r>
    </w:p>
    <w:p w14:paraId="7DFD6518">
      <w:pPr>
        <w:pStyle w:val="63"/>
        <w:keepNext w:val="0"/>
        <w:keepLines w:val="0"/>
        <w:pageBreakBefore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因上述所列情形未能签约的供应商，不得以任何理由重新获得签约资格。</w:t>
      </w:r>
    </w:p>
    <w:p w14:paraId="1B28E349">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24" w:name="_Toc2216"/>
      <w:r>
        <w:rPr>
          <w:rFonts w:hint="eastAsia" w:ascii="仿宋" w:hAnsi="仿宋" w:eastAsia="仿宋" w:cs="仿宋"/>
          <w:b/>
          <w:color w:val="auto"/>
          <w:kern w:val="0"/>
          <w:sz w:val="24"/>
          <w:szCs w:val="24"/>
          <w:highlight w:val="none"/>
          <w:lang w:val="en-US" w:eastAsia="zh-CN" w:bidi="ar-SA"/>
        </w:rPr>
        <w:t>8.供应商考核</w:t>
      </w:r>
      <w:bookmarkEnd w:id="24"/>
    </w:p>
    <w:p w14:paraId="6F5DCD2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Style w:val="62"/>
          <w:rFonts w:ascii="仿宋" w:hAnsi="仿宋" w:eastAsia="仿宋" w:cs="仿宋"/>
          <w:b w:val="0"/>
          <w:bCs w:val="0"/>
          <w:color w:val="auto"/>
          <w:kern w:val="2"/>
          <w:sz w:val="24"/>
          <w:szCs w:val="24"/>
          <w:highlight w:val="none"/>
          <w:lang w:val="en-US" w:bidi="ar-SA"/>
        </w:rPr>
      </w:pPr>
      <w:r>
        <w:rPr>
          <w:rStyle w:val="62"/>
          <w:rFonts w:hint="eastAsia" w:ascii="仿宋" w:hAnsi="仿宋" w:eastAsia="仿宋" w:cs="仿宋"/>
          <w:b w:val="0"/>
          <w:bCs w:val="0"/>
          <w:color w:val="auto"/>
          <w:kern w:val="2"/>
          <w:sz w:val="24"/>
          <w:szCs w:val="24"/>
          <w:highlight w:val="none"/>
          <w:lang w:val="en-US" w:bidi="ar-SA"/>
        </w:rPr>
        <w:t>采购人每个月</w:t>
      </w:r>
      <w:r>
        <w:rPr>
          <w:rStyle w:val="62"/>
          <w:rFonts w:ascii="仿宋" w:hAnsi="仿宋" w:eastAsia="仿宋" w:cs="仿宋"/>
          <w:b w:val="0"/>
          <w:bCs w:val="0"/>
          <w:color w:val="auto"/>
          <w:kern w:val="2"/>
          <w:sz w:val="24"/>
          <w:szCs w:val="24"/>
          <w:highlight w:val="none"/>
          <w:lang w:val="en-US" w:bidi="ar-SA"/>
        </w:rPr>
        <w:t>从产品质量、供货价格、送货及时性等方面对供应商进行百分制考核，评分结果划分为A（90～100分）、B（80～89分）、C（70～79分）、D（＜70分）四个等级。若供应商出现D级评定</w:t>
      </w:r>
      <w:r>
        <w:rPr>
          <w:rStyle w:val="62"/>
          <w:rFonts w:hint="eastAsia" w:ascii="仿宋" w:hAnsi="仿宋" w:eastAsia="仿宋" w:cs="仿宋"/>
          <w:b w:val="0"/>
          <w:bCs w:val="0"/>
          <w:color w:val="auto"/>
          <w:kern w:val="2"/>
          <w:sz w:val="24"/>
          <w:szCs w:val="24"/>
          <w:highlight w:val="none"/>
          <w:lang w:val="en-US" w:bidi="ar-SA"/>
        </w:rPr>
        <w:t>/</w:t>
      </w:r>
      <w:r>
        <w:rPr>
          <w:rStyle w:val="62"/>
          <w:rFonts w:ascii="仿宋" w:hAnsi="仿宋" w:eastAsia="仿宋" w:cs="仿宋"/>
          <w:b w:val="0"/>
          <w:bCs w:val="0"/>
          <w:color w:val="auto"/>
          <w:kern w:val="2"/>
          <w:sz w:val="24"/>
          <w:szCs w:val="24"/>
          <w:highlight w:val="none"/>
          <w:lang w:val="en-US" w:bidi="ar-SA"/>
        </w:rPr>
        <w:t>连续两</w:t>
      </w:r>
      <w:r>
        <w:rPr>
          <w:rStyle w:val="62"/>
          <w:rFonts w:hint="eastAsia" w:ascii="仿宋" w:hAnsi="仿宋" w:eastAsia="仿宋" w:cs="仿宋"/>
          <w:b w:val="0"/>
          <w:bCs w:val="0"/>
          <w:color w:val="auto"/>
          <w:kern w:val="2"/>
          <w:sz w:val="24"/>
          <w:szCs w:val="24"/>
          <w:highlight w:val="none"/>
          <w:lang w:val="en-US" w:bidi="ar-SA"/>
        </w:rPr>
        <w:t>个月</w:t>
      </w:r>
      <w:r>
        <w:rPr>
          <w:rStyle w:val="62"/>
          <w:rFonts w:ascii="仿宋" w:hAnsi="仿宋" w:eastAsia="仿宋" w:cs="仿宋"/>
          <w:b w:val="0"/>
          <w:bCs w:val="0"/>
          <w:color w:val="auto"/>
          <w:kern w:val="2"/>
          <w:sz w:val="24"/>
          <w:szCs w:val="24"/>
          <w:highlight w:val="none"/>
          <w:lang w:val="en-US" w:bidi="ar-SA"/>
        </w:rPr>
        <w:t>C级</w:t>
      </w:r>
      <w:r>
        <w:rPr>
          <w:rStyle w:val="62"/>
          <w:rFonts w:hint="eastAsia" w:ascii="仿宋" w:hAnsi="仿宋" w:eastAsia="仿宋" w:cs="仿宋"/>
          <w:b w:val="0"/>
          <w:bCs w:val="0"/>
          <w:color w:val="auto"/>
          <w:kern w:val="2"/>
          <w:sz w:val="24"/>
          <w:szCs w:val="24"/>
          <w:highlight w:val="none"/>
          <w:lang w:val="en-US" w:bidi="ar-SA"/>
        </w:rPr>
        <w:t>/</w:t>
      </w:r>
      <w:r>
        <w:rPr>
          <w:rStyle w:val="62"/>
          <w:rFonts w:ascii="仿宋" w:hAnsi="仿宋" w:eastAsia="仿宋" w:cs="仿宋"/>
          <w:b w:val="0"/>
          <w:bCs w:val="0"/>
          <w:color w:val="auto"/>
          <w:kern w:val="2"/>
          <w:sz w:val="24"/>
          <w:szCs w:val="24"/>
          <w:highlight w:val="none"/>
          <w:lang w:val="en-US" w:bidi="ar-SA"/>
        </w:rPr>
        <w:t>累计3次重大失误影响经营，或在</w:t>
      </w:r>
      <w:r>
        <w:rPr>
          <w:rStyle w:val="62"/>
          <w:rFonts w:hint="eastAsia" w:ascii="仿宋" w:hAnsi="仿宋" w:eastAsia="仿宋" w:cs="仿宋"/>
          <w:b w:val="0"/>
          <w:bCs w:val="0"/>
          <w:color w:val="auto"/>
          <w:kern w:val="2"/>
          <w:sz w:val="24"/>
          <w:szCs w:val="24"/>
          <w:highlight w:val="none"/>
          <w:lang w:val="en-US" w:bidi="ar-SA"/>
        </w:rPr>
        <w:t>供货</w:t>
      </w:r>
      <w:r>
        <w:rPr>
          <w:rStyle w:val="62"/>
          <w:rFonts w:ascii="仿宋" w:hAnsi="仿宋" w:eastAsia="仿宋" w:cs="仿宋"/>
          <w:b w:val="0"/>
          <w:bCs w:val="0"/>
          <w:color w:val="auto"/>
          <w:kern w:val="2"/>
          <w:sz w:val="24"/>
          <w:szCs w:val="24"/>
          <w:highlight w:val="none"/>
          <w:lang w:val="en-US" w:bidi="ar-SA"/>
        </w:rPr>
        <w:t>报价中串通舞弊，</w:t>
      </w:r>
      <w:r>
        <w:rPr>
          <w:rStyle w:val="62"/>
          <w:rFonts w:hint="eastAsia" w:ascii="仿宋" w:hAnsi="仿宋" w:eastAsia="仿宋" w:cs="仿宋"/>
          <w:b w:val="0"/>
          <w:bCs w:val="0"/>
          <w:color w:val="auto"/>
          <w:kern w:val="2"/>
          <w:sz w:val="24"/>
          <w:szCs w:val="24"/>
          <w:highlight w:val="none"/>
          <w:lang w:val="en-US" w:bidi="ar-SA"/>
        </w:rPr>
        <w:t>采购人</w:t>
      </w:r>
      <w:r>
        <w:rPr>
          <w:rStyle w:val="62"/>
          <w:rFonts w:ascii="仿宋" w:hAnsi="仿宋" w:eastAsia="仿宋" w:cs="仿宋"/>
          <w:b w:val="0"/>
          <w:bCs w:val="0"/>
          <w:color w:val="auto"/>
          <w:kern w:val="2"/>
          <w:sz w:val="24"/>
          <w:szCs w:val="24"/>
          <w:highlight w:val="none"/>
          <w:lang w:val="en-US" w:bidi="ar-SA"/>
        </w:rPr>
        <w:t>有权单方解除合同，取消其供应资格，并不予退还履约保证金，且两年内不得参与</w:t>
      </w:r>
      <w:r>
        <w:rPr>
          <w:rStyle w:val="62"/>
          <w:rFonts w:hint="eastAsia" w:ascii="仿宋" w:hAnsi="仿宋" w:eastAsia="仿宋" w:cs="仿宋"/>
          <w:b w:val="0"/>
          <w:bCs w:val="0"/>
          <w:color w:val="auto"/>
          <w:kern w:val="2"/>
          <w:sz w:val="24"/>
          <w:szCs w:val="24"/>
          <w:highlight w:val="none"/>
          <w:lang w:val="en-US" w:bidi="ar-SA"/>
        </w:rPr>
        <w:t>采购人</w:t>
      </w:r>
      <w:r>
        <w:rPr>
          <w:rStyle w:val="62"/>
          <w:rFonts w:ascii="仿宋" w:hAnsi="仿宋" w:eastAsia="仿宋" w:cs="仿宋"/>
          <w:b w:val="0"/>
          <w:bCs w:val="0"/>
          <w:color w:val="auto"/>
          <w:kern w:val="2"/>
          <w:sz w:val="24"/>
          <w:szCs w:val="24"/>
          <w:highlight w:val="none"/>
          <w:lang w:val="en-US" w:bidi="ar-SA"/>
        </w:rPr>
        <w:t>任何采购活动；供应商退出后，如有明确备选则按序递补，否则重新组织采购。</w:t>
      </w:r>
    </w:p>
    <w:tbl>
      <w:tblPr>
        <w:tblStyle w:val="23"/>
        <w:tblW w:w="8613" w:type="dxa"/>
        <w:tblInd w:w="-14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55"/>
        <w:gridCol w:w="4995"/>
        <w:gridCol w:w="1080"/>
        <w:gridCol w:w="1083"/>
      </w:tblGrid>
      <w:tr w14:paraId="5A2D6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8613" w:type="dxa"/>
            <w:gridSpan w:val="4"/>
            <w:tcBorders>
              <w:top w:val="nil"/>
              <w:left w:val="nil"/>
              <w:bottom w:val="nil"/>
              <w:right w:val="nil"/>
            </w:tcBorders>
            <w:shd w:val="clear" w:color="auto" w:fill="auto"/>
            <w:noWrap/>
            <w:vAlign w:val="center"/>
          </w:tcPr>
          <w:p w14:paraId="5A6E7CB9">
            <w:pPr>
              <w:keepNext w:val="0"/>
              <w:keepLines w:val="0"/>
              <w:widowControl/>
              <w:suppressLineNumbers w:val="0"/>
              <w:jc w:val="center"/>
              <w:textAlignment w:val="center"/>
              <w:rPr>
                <w:rFonts w:ascii="仿宋" w:hAnsi="仿宋" w:eastAsia="仿宋" w:cs="仿宋"/>
                <w:b/>
                <w:bCs/>
                <w:i w:val="0"/>
                <w:iCs w:val="0"/>
                <w:color w:val="auto"/>
                <w:sz w:val="36"/>
                <w:szCs w:val="36"/>
                <w:highlight w:val="none"/>
                <w:u w:val="none"/>
              </w:rPr>
            </w:pPr>
            <w:r>
              <w:rPr>
                <w:rFonts w:hint="eastAsia" w:ascii="仿宋" w:hAnsi="仿宋" w:eastAsia="仿宋" w:cs="仿宋"/>
                <w:b/>
                <w:bCs/>
                <w:i w:val="0"/>
                <w:iCs w:val="0"/>
                <w:color w:val="auto"/>
                <w:kern w:val="0"/>
                <w:sz w:val="36"/>
                <w:szCs w:val="36"/>
                <w:highlight w:val="none"/>
                <w:u w:val="none"/>
                <w:lang w:val="en-US" w:eastAsia="zh-CN" w:bidi="ar"/>
              </w:rPr>
              <w:t>供应商考核明细表</w:t>
            </w:r>
          </w:p>
        </w:tc>
      </w:tr>
      <w:tr w14:paraId="6F195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8613" w:type="dxa"/>
            <w:gridSpan w:val="4"/>
            <w:tcBorders>
              <w:top w:val="nil"/>
              <w:left w:val="nil"/>
              <w:bottom w:val="nil"/>
              <w:right w:val="nil"/>
            </w:tcBorders>
            <w:shd w:val="clear" w:color="auto" w:fill="auto"/>
            <w:noWrap/>
            <w:vAlign w:val="center"/>
          </w:tcPr>
          <w:p w14:paraId="6B0306F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 xml:space="preserve">（ </w:t>
            </w:r>
            <w:r>
              <w:rPr>
                <w:rStyle w:val="75"/>
                <w:color w:val="auto"/>
                <w:highlight w:val="none"/>
                <w:lang w:val="en-US" w:eastAsia="zh-CN" w:bidi="ar"/>
              </w:rPr>
              <w:t xml:space="preserve">       产品2026-2027年度）</w:t>
            </w:r>
          </w:p>
        </w:tc>
      </w:tr>
      <w:tr w14:paraId="4F64A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8613" w:type="dxa"/>
            <w:gridSpan w:val="4"/>
            <w:tcBorders>
              <w:top w:val="nil"/>
              <w:left w:val="nil"/>
              <w:bottom w:val="nil"/>
              <w:right w:val="nil"/>
            </w:tcBorders>
            <w:shd w:val="clear" w:color="auto" w:fill="auto"/>
            <w:noWrap/>
            <w:vAlign w:val="center"/>
          </w:tcPr>
          <w:p w14:paraId="0A7C1B74">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供应商名称：      考核周期： 年 月 日-  年 月 日  考评日期： 年 月 日</w:t>
            </w:r>
          </w:p>
        </w:tc>
      </w:tr>
      <w:tr w14:paraId="36E17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537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评分项目</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B47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评分内容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E8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扣分标准</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2BD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扣除分值</w:t>
            </w:r>
          </w:p>
        </w:tc>
      </w:tr>
      <w:tr w14:paraId="449B7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D8A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供货时效</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4DB0">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所有配送都能按照合同或采购人要求及时送至指定地点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94F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w:t>
            </w:r>
          </w:p>
        </w:tc>
        <w:tc>
          <w:tcPr>
            <w:tcW w:w="10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30C37">
            <w:pPr>
              <w:jc w:val="center"/>
              <w:rPr>
                <w:rFonts w:hint="eastAsia" w:ascii="仿宋" w:hAnsi="仿宋" w:eastAsia="仿宋" w:cs="仿宋"/>
                <w:i w:val="0"/>
                <w:iCs w:val="0"/>
                <w:color w:val="auto"/>
                <w:sz w:val="24"/>
                <w:szCs w:val="24"/>
                <w:highlight w:val="none"/>
                <w:u w:val="none"/>
              </w:rPr>
            </w:pPr>
          </w:p>
        </w:tc>
      </w:tr>
      <w:tr w14:paraId="73853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96E07">
            <w:pPr>
              <w:jc w:val="center"/>
              <w:rPr>
                <w:rFonts w:hint="eastAsia" w:ascii="仿宋" w:hAnsi="仿宋" w:eastAsia="仿宋" w:cs="仿宋"/>
                <w:i w:val="0"/>
                <w:iCs w:val="0"/>
                <w:color w:val="auto"/>
                <w:sz w:val="24"/>
                <w:szCs w:val="24"/>
                <w:highlight w:val="none"/>
                <w:u w:val="none"/>
              </w:rPr>
            </w:pP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C002">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存在晚于合同或采购人要求配送至指定地点，但未影响生产经营</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17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5C5D0">
            <w:pPr>
              <w:jc w:val="center"/>
              <w:rPr>
                <w:rFonts w:hint="eastAsia" w:ascii="仿宋" w:hAnsi="仿宋" w:eastAsia="仿宋" w:cs="仿宋"/>
                <w:i w:val="0"/>
                <w:iCs w:val="0"/>
                <w:color w:val="auto"/>
                <w:sz w:val="24"/>
                <w:szCs w:val="24"/>
                <w:highlight w:val="none"/>
                <w:u w:val="none"/>
              </w:rPr>
            </w:pPr>
          </w:p>
        </w:tc>
      </w:tr>
      <w:tr w14:paraId="6964F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A3543">
            <w:pPr>
              <w:jc w:val="center"/>
              <w:rPr>
                <w:rFonts w:hint="eastAsia" w:ascii="仿宋" w:hAnsi="仿宋" w:eastAsia="仿宋" w:cs="仿宋"/>
                <w:i w:val="0"/>
                <w:iCs w:val="0"/>
                <w:color w:val="auto"/>
                <w:sz w:val="24"/>
                <w:szCs w:val="24"/>
                <w:highlight w:val="none"/>
                <w:u w:val="none"/>
              </w:rPr>
            </w:pP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DCB7">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存在晚于合同或采购人要求配送至指定地点，对生产经营产生影响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541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AD10C">
            <w:pPr>
              <w:jc w:val="center"/>
              <w:rPr>
                <w:rFonts w:hint="eastAsia" w:ascii="仿宋" w:hAnsi="仿宋" w:eastAsia="仿宋" w:cs="仿宋"/>
                <w:i w:val="0"/>
                <w:iCs w:val="0"/>
                <w:color w:val="auto"/>
                <w:sz w:val="24"/>
                <w:szCs w:val="24"/>
                <w:highlight w:val="none"/>
                <w:u w:val="none"/>
              </w:rPr>
            </w:pPr>
          </w:p>
        </w:tc>
      </w:tr>
      <w:tr w14:paraId="3EBA9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2185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供货价格</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16305">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供货报价低于或等于采购人市场调研价格</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76E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w:t>
            </w:r>
          </w:p>
        </w:tc>
        <w:tc>
          <w:tcPr>
            <w:tcW w:w="10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0EFCA">
            <w:pPr>
              <w:jc w:val="center"/>
              <w:rPr>
                <w:rFonts w:hint="eastAsia" w:ascii="仿宋" w:hAnsi="仿宋" w:eastAsia="仿宋" w:cs="仿宋"/>
                <w:i w:val="0"/>
                <w:iCs w:val="0"/>
                <w:color w:val="auto"/>
                <w:sz w:val="24"/>
                <w:szCs w:val="24"/>
                <w:highlight w:val="none"/>
                <w:u w:val="none"/>
              </w:rPr>
            </w:pPr>
          </w:p>
        </w:tc>
      </w:tr>
      <w:tr w14:paraId="0F598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CB63F">
            <w:pPr>
              <w:jc w:val="center"/>
              <w:rPr>
                <w:rFonts w:hint="eastAsia" w:ascii="仿宋" w:hAnsi="仿宋" w:eastAsia="仿宋" w:cs="仿宋"/>
                <w:i w:val="0"/>
                <w:iCs w:val="0"/>
                <w:color w:val="auto"/>
                <w:sz w:val="24"/>
                <w:szCs w:val="24"/>
                <w:highlight w:val="none"/>
                <w:u w:val="none"/>
              </w:rPr>
            </w:pP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D6C0A">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供货报价高于采购人市场调研价格，经协商调整供货价后按照采购人要求及时供货</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1B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3F5C0">
            <w:pPr>
              <w:jc w:val="center"/>
              <w:rPr>
                <w:rFonts w:hint="eastAsia" w:ascii="仿宋" w:hAnsi="仿宋" w:eastAsia="仿宋" w:cs="仿宋"/>
                <w:i w:val="0"/>
                <w:iCs w:val="0"/>
                <w:color w:val="auto"/>
                <w:sz w:val="24"/>
                <w:szCs w:val="24"/>
                <w:highlight w:val="none"/>
                <w:u w:val="none"/>
              </w:rPr>
            </w:pPr>
          </w:p>
        </w:tc>
      </w:tr>
      <w:tr w14:paraId="23F18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A150D">
            <w:pPr>
              <w:jc w:val="center"/>
              <w:rPr>
                <w:rFonts w:hint="eastAsia" w:ascii="仿宋" w:hAnsi="仿宋" w:eastAsia="仿宋" w:cs="仿宋"/>
                <w:i w:val="0"/>
                <w:iCs w:val="0"/>
                <w:color w:val="auto"/>
                <w:sz w:val="24"/>
                <w:szCs w:val="24"/>
                <w:highlight w:val="none"/>
                <w:u w:val="none"/>
              </w:rPr>
            </w:pP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088B9">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供货报价高于采购人市场调研价格，经协商调整供货价，但未及时供应，对生产经营产生影响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3C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3B1C1">
            <w:pPr>
              <w:jc w:val="center"/>
              <w:rPr>
                <w:rFonts w:hint="eastAsia" w:ascii="仿宋" w:hAnsi="仿宋" w:eastAsia="仿宋" w:cs="仿宋"/>
                <w:i w:val="0"/>
                <w:iCs w:val="0"/>
                <w:color w:val="auto"/>
                <w:sz w:val="24"/>
                <w:szCs w:val="24"/>
                <w:highlight w:val="none"/>
                <w:u w:val="none"/>
              </w:rPr>
            </w:pPr>
          </w:p>
        </w:tc>
      </w:tr>
      <w:tr w14:paraId="64D1E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248E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供货质量</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5502">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所有配送质量都能按照合同或采购人要求供应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FE9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w:t>
            </w:r>
          </w:p>
        </w:tc>
        <w:tc>
          <w:tcPr>
            <w:tcW w:w="10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D76DD2">
            <w:pPr>
              <w:jc w:val="center"/>
              <w:rPr>
                <w:rFonts w:hint="eastAsia" w:ascii="仿宋" w:hAnsi="仿宋" w:eastAsia="仿宋" w:cs="仿宋"/>
                <w:i w:val="0"/>
                <w:iCs w:val="0"/>
                <w:color w:val="auto"/>
                <w:sz w:val="24"/>
                <w:szCs w:val="24"/>
                <w:highlight w:val="none"/>
                <w:u w:val="none"/>
              </w:rPr>
            </w:pPr>
          </w:p>
        </w:tc>
      </w:tr>
      <w:tr w14:paraId="7F109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2B757">
            <w:pPr>
              <w:jc w:val="center"/>
              <w:rPr>
                <w:rFonts w:hint="eastAsia" w:ascii="仿宋" w:hAnsi="仿宋" w:eastAsia="仿宋" w:cs="仿宋"/>
                <w:i w:val="0"/>
                <w:iCs w:val="0"/>
                <w:color w:val="auto"/>
                <w:sz w:val="24"/>
                <w:szCs w:val="24"/>
                <w:highlight w:val="none"/>
                <w:u w:val="none"/>
              </w:rPr>
            </w:pP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9E18D">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配送质量有轻微问题，主要指标符合要求，但未影响生产经营</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D32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9790D">
            <w:pPr>
              <w:jc w:val="center"/>
              <w:rPr>
                <w:rFonts w:hint="eastAsia" w:ascii="仿宋" w:hAnsi="仿宋" w:eastAsia="仿宋" w:cs="仿宋"/>
                <w:i w:val="0"/>
                <w:iCs w:val="0"/>
                <w:color w:val="auto"/>
                <w:sz w:val="24"/>
                <w:szCs w:val="24"/>
                <w:highlight w:val="none"/>
                <w:u w:val="none"/>
              </w:rPr>
            </w:pPr>
          </w:p>
        </w:tc>
      </w:tr>
      <w:tr w14:paraId="02087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2A54C">
            <w:pPr>
              <w:jc w:val="center"/>
              <w:rPr>
                <w:rFonts w:hint="eastAsia" w:ascii="仿宋" w:hAnsi="仿宋" w:eastAsia="仿宋" w:cs="仿宋"/>
                <w:i w:val="0"/>
                <w:iCs w:val="0"/>
                <w:color w:val="auto"/>
                <w:sz w:val="24"/>
                <w:szCs w:val="24"/>
                <w:highlight w:val="none"/>
                <w:u w:val="none"/>
              </w:rPr>
            </w:pP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D68E">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配送质量有质量问题，导致退换货，但未对生产经营产生影响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6D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A6270">
            <w:pPr>
              <w:jc w:val="center"/>
              <w:rPr>
                <w:rFonts w:hint="eastAsia" w:ascii="仿宋" w:hAnsi="仿宋" w:eastAsia="仿宋" w:cs="仿宋"/>
                <w:i w:val="0"/>
                <w:iCs w:val="0"/>
                <w:color w:val="auto"/>
                <w:sz w:val="24"/>
                <w:szCs w:val="24"/>
                <w:highlight w:val="none"/>
                <w:u w:val="none"/>
              </w:rPr>
            </w:pPr>
          </w:p>
        </w:tc>
      </w:tr>
      <w:tr w14:paraId="0686B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AD8C9">
            <w:pPr>
              <w:jc w:val="center"/>
              <w:rPr>
                <w:rFonts w:hint="eastAsia" w:ascii="仿宋" w:hAnsi="仿宋" w:eastAsia="仿宋" w:cs="仿宋"/>
                <w:i w:val="0"/>
                <w:iCs w:val="0"/>
                <w:color w:val="auto"/>
                <w:sz w:val="24"/>
                <w:szCs w:val="24"/>
                <w:highlight w:val="none"/>
                <w:u w:val="none"/>
              </w:rPr>
            </w:pP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51C6">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配送质量有质量问题，导致退换货对生产经营产生影响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29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DFEF6">
            <w:pPr>
              <w:jc w:val="center"/>
              <w:rPr>
                <w:rFonts w:hint="eastAsia" w:ascii="仿宋" w:hAnsi="仿宋" w:eastAsia="仿宋" w:cs="仿宋"/>
                <w:i w:val="0"/>
                <w:iCs w:val="0"/>
                <w:color w:val="auto"/>
                <w:sz w:val="24"/>
                <w:szCs w:val="24"/>
                <w:highlight w:val="none"/>
                <w:u w:val="none"/>
              </w:rPr>
            </w:pPr>
          </w:p>
        </w:tc>
      </w:tr>
      <w:tr w14:paraId="25C8F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9A7E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垫资能力</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C1EC5">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垫资能力较好，不存在恶意催款情况</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A24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63772">
            <w:pPr>
              <w:jc w:val="center"/>
              <w:rPr>
                <w:rFonts w:hint="eastAsia" w:ascii="仿宋" w:hAnsi="仿宋" w:eastAsia="仿宋" w:cs="仿宋"/>
                <w:i w:val="0"/>
                <w:iCs w:val="0"/>
                <w:color w:val="auto"/>
                <w:sz w:val="24"/>
                <w:szCs w:val="24"/>
                <w:highlight w:val="none"/>
                <w:u w:val="none"/>
              </w:rPr>
            </w:pPr>
          </w:p>
        </w:tc>
      </w:tr>
      <w:tr w14:paraId="64A4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2C9D2">
            <w:pPr>
              <w:jc w:val="center"/>
              <w:rPr>
                <w:rFonts w:hint="eastAsia" w:ascii="仿宋" w:hAnsi="仿宋" w:eastAsia="仿宋" w:cs="仿宋"/>
                <w:i w:val="0"/>
                <w:iCs w:val="0"/>
                <w:color w:val="auto"/>
                <w:sz w:val="24"/>
                <w:szCs w:val="24"/>
                <w:highlight w:val="none"/>
                <w:u w:val="none"/>
              </w:rPr>
            </w:pP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9F50">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垫资能力一般，催款频率较高</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D4B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648AD">
            <w:pPr>
              <w:jc w:val="center"/>
              <w:rPr>
                <w:rFonts w:hint="eastAsia" w:ascii="仿宋" w:hAnsi="仿宋" w:eastAsia="仿宋" w:cs="仿宋"/>
                <w:i w:val="0"/>
                <w:iCs w:val="0"/>
                <w:color w:val="auto"/>
                <w:sz w:val="24"/>
                <w:szCs w:val="24"/>
                <w:highlight w:val="none"/>
                <w:u w:val="none"/>
              </w:rPr>
            </w:pPr>
          </w:p>
        </w:tc>
      </w:tr>
      <w:tr w14:paraId="0191D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2CDAD">
            <w:pPr>
              <w:jc w:val="center"/>
              <w:rPr>
                <w:rFonts w:hint="eastAsia" w:ascii="仿宋" w:hAnsi="仿宋" w:eastAsia="仿宋" w:cs="仿宋"/>
                <w:i w:val="0"/>
                <w:iCs w:val="0"/>
                <w:color w:val="auto"/>
                <w:sz w:val="24"/>
                <w:szCs w:val="24"/>
                <w:highlight w:val="none"/>
                <w:u w:val="none"/>
              </w:rPr>
            </w:pP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3A33">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垫资能力较差，存在恶意催款情况</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C51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226A">
            <w:pPr>
              <w:jc w:val="center"/>
              <w:rPr>
                <w:rFonts w:hint="eastAsia" w:ascii="仿宋" w:hAnsi="仿宋" w:eastAsia="仿宋" w:cs="仿宋"/>
                <w:i w:val="0"/>
                <w:iCs w:val="0"/>
                <w:color w:val="auto"/>
                <w:sz w:val="24"/>
                <w:szCs w:val="24"/>
                <w:highlight w:val="none"/>
                <w:u w:val="none"/>
              </w:rPr>
            </w:pPr>
          </w:p>
        </w:tc>
      </w:tr>
      <w:tr w14:paraId="34A8C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990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服务标准</w:t>
            </w: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D439">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按合同规定提供服务，并提供额外增值服务，对提出的关于生产服务的控制要求给予积极配合</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266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F38E">
            <w:pPr>
              <w:jc w:val="center"/>
              <w:rPr>
                <w:rFonts w:hint="eastAsia" w:ascii="仿宋" w:hAnsi="仿宋" w:eastAsia="仿宋" w:cs="仿宋"/>
                <w:i w:val="0"/>
                <w:iCs w:val="0"/>
                <w:color w:val="auto"/>
                <w:sz w:val="24"/>
                <w:szCs w:val="24"/>
                <w:highlight w:val="none"/>
                <w:u w:val="none"/>
              </w:rPr>
            </w:pPr>
          </w:p>
        </w:tc>
      </w:tr>
      <w:tr w14:paraId="532BC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CF013">
            <w:pPr>
              <w:jc w:val="center"/>
              <w:rPr>
                <w:rFonts w:hint="eastAsia" w:ascii="仿宋" w:hAnsi="仿宋" w:eastAsia="仿宋" w:cs="仿宋"/>
                <w:i w:val="0"/>
                <w:iCs w:val="0"/>
                <w:color w:val="auto"/>
                <w:sz w:val="24"/>
                <w:szCs w:val="24"/>
                <w:highlight w:val="none"/>
                <w:u w:val="none"/>
              </w:rPr>
            </w:pP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8ABCC">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基本能按合同规定提供服务，对提出的关于生产服务的控制要求配合程度不积极</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36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6B914">
            <w:pPr>
              <w:jc w:val="center"/>
              <w:rPr>
                <w:rFonts w:hint="eastAsia" w:ascii="仿宋" w:hAnsi="仿宋" w:eastAsia="仿宋" w:cs="仿宋"/>
                <w:i w:val="0"/>
                <w:iCs w:val="0"/>
                <w:color w:val="auto"/>
                <w:sz w:val="24"/>
                <w:szCs w:val="24"/>
                <w:highlight w:val="none"/>
                <w:u w:val="none"/>
              </w:rPr>
            </w:pPr>
          </w:p>
        </w:tc>
      </w:tr>
      <w:tr w14:paraId="24F11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59FFB">
            <w:pPr>
              <w:jc w:val="center"/>
              <w:rPr>
                <w:rFonts w:hint="eastAsia" w:ascii="仿宋" w:hAnsi="仿宋" w:eastAsia="仿宋" w:cs="仿宋"/>
                <w:i w:val="0"/>
                <w:iCs w:val="0"/>
                <w:color w:val="auto"/>
                <w:sz w:val="24"/>
                <w:szCs w:val="24"/>
                <w:highlight w:val="none"/>
                <w:u w:val="none"/>
              </w:rPr>
            </w:pPr>
          </w:p>
        </w:tc>
        <w:tc>
          <w:tcPr>
            <w:tcW w:w="4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7205F">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未按合同规定提供服务，对提出的关于生产服务的控制要求不配合</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5D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44254">
            <w:pPr>
              <w:jc w:val="center"/>
              <w:rPr>
                <w:rFonts w:hint="eastAsia" w:ascii="仿宋" w:hAnsi="仿宋" w:eastAsia="仿宋" w:cs="仿宋"/>
                <w:i w:val="0"/>
                <w:iCs w:val="0"/>
                <w:color w:val="auto"/>
                <w:sz w:val="24"/>
                <w:szCs w:val="24"/>
                <w:highlight w:val="none"/>
                <w:u w:val="none"/>
              </w:rPr>
            </w:pPr>
          </w:p>
        </w:tc>
      </w:tr>
      <w:tr w14:paraId="6449A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41413">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一票否决项</w:t>
            </w:r>
          </w:p>
        </w:tc>
        <w:tc>
          <w:tcPr>
            <w:tcW w:w="4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0FF3F">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触及此项，则最终考核期得分为零分；是否触及：    ，触及第   款项</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0FEC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10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A79A9E">
            <w:pPr>
              <w:jc w:val="center"/>
              <w:rPr>
                <w:rFonts w:hint="eastAsia" w:ascii="仿宋" w:hAnsi="仿宋" w:eastAsia="仿宋" w:cs="仿宋"/>
                <w:i w:val="0"/>
                <w:iCs w:val="0"/>
                <w:color w:val="auto"/>
                <w:sz w:val="24"/>
                <w:szCs w:val="24"/>
                <w:highlight w:val="none"/>
                <w:u w:val="none"/>
              </w:rPr>
            </w:pPr>
          </w:p>
        </w:tc>
      </w:tr>
      <w:tr w14:paraId="1A2BA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0CA99">
            <w:pPr>
              <w:jc w:val="center"/>
              <w:rPr>
                <w:rFonts w:hint="eastAsia" w:ascii="仿宋" w:hAnsi="仿宋" w:eastAsia="仿宋" w:cs="仿宋"/>
                <w:b/>
                <w:bCs/>
                <w:i w:val="0"/>
                <w:iCs w:val="0"/>
                <w:color w:val="auto"/>
                <w:sz w:val="24"/>
                <w:szCs w:val="24"/>
                <w:highlight w:val="none"/>
                <w:u w:val="none"/>
              </w:rPr>
            </w:pPr>
          </w:p>
        </w:tc>
        <w:tc>
          <w:tcPr>
            <w:tcW w:w="4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C6654">
            <w:pPr>
              <w:jc w:val="center"/>
              <w:rPr>
                <w:rFonts w:hint="eastAsia" w:ascii="仿宋" w:hAnsi="仿宋" w:eastAsia="仿宋" w:cs="仿宋"/>
                <w:i w:val="0"/>
                <w:iCs w:val="0"/>
                <w:color w:val="auto"/>
                <w:sz w:val="24"/>
                <w:szCs w:val="24"/>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ADC9B">
            <w:pPr>
              <w:jc w:val="center"/>
              <w:rPr>
                <w:rFonts w:hint="eastAsia" w:ascii="仿宋" w:hAnsi="仿宋" w:eastAsia="仿宋" w:cs="仿宋"/>
                <w:i w:val="0"/>
                <w:iCs w:val="0"/>
                <w:color w:val="auto"/>
                <w:sz w:val="24"/>
                <w:szCs w:val="24"/>
                <w:highlight w:val="none"/>
                <w:u w:val="none"/>
              </w:rPr>
            </w:pP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CE9DE">
            <w:pPr>
              <w:jc w:val="center"/>
              <w:rPr>
                <w:rFonts w:hint="eastAsia" w:ascii="仿宋" w:hAnsi="仿宋" w:eastAsia="仿宋" w:cs="仿宋"/>
                <w:i w:val="0"/>
                <w:iCs w:val="0"/>
                <w:color w:val="auto"/>
                <w:sz w:val="24"/>
                <w:szCs w:val="24"/>
                <w:highlight w:val="none"/>
                <w:u w:val="none"/>
              </w:rPr>
            </w:pPr>
          </w:p>
        </w:tc>
      </w:tr>
      <w:tr w14:paraId="4FE31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6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236AFC">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合计扣分：</w:t>
            </w:r>
          </w:p>
        </w:tc>
        <w:tc>
          <w:tcPr>
            <w:tcW w:w="2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F6D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w:t>
            </w:r>
          </w:p>
        </w:tc>
      </w:tr>
      <w:tr w14:paraId="6A5BB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6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1CF175">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考核期得分：</w:t>
            </w:r>
          </w:p>
        </w:tc>
        <w:tc>
          <w:tcPr>
            <w:tcW w:w="2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CF6AA">
            <w:pPr>
              <w:jc w:val="center"/>
              <w:rPr>
                <w:rFonts w:hint="eastAsia" w:ascii="仿宋" w:hAnsi="仿宋" w:eastAsia="仿宋" w:cs="仿宋"/>
                <w:b/>
                <w:bCs/>
                <w:i w:val="0"/>
                <w:iCs w:val="0"/>
                <w:color w:val="auto"/>
                <w:sz w:val="24"/>
                <w:szCs w:val="24"/>
                <w:highlight w:val="none"/>
                <w:u w:val="none"/>
              </w:rPr>
            </w:pPr>
          </w:p>
        </w:tc>
      </w:tr>
      <w:tr w14:paraId="18E62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86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D42B09">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 xml:space="preserve">评分人：              部门经理：             分管领导：       </w:t>
            </w:r>
          </w:p>
        </w:tc>
      </w:tr>
      <w:tr w14:paraId="118F8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3CAF2">
            <w:pPr>
              <w:keepNext w:val="0"/>
              <w:keepLines w:val="0"/>
              <w:widowControl/>
              <w:suppressLineNumbers w:val="0"/>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一票否决项</w:t>
            </w:r>
          </w:p>
        </w:tc>
        <w:tc>
          <w:tcPr>
            <w:tcW w:w="60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28CD2">
            <w:pPr>
              <w:keepNext w:val="0"/>
              <w:keepLines w:val="0"/>
              <w:widowControl/>
              <w:suppressLineNumbers w:val="0"/>
              <w:jc w:val="left"/>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kern w:val="0"/>
                <w:sz w:val="24"/>
                <w:szCs w:val="24"/>
                <w:highlight w:val="none"/>
                <w:u w:val="none"/>
                <w:lang w:val="en-US" w:eastAsia="zh-CN" w:bidi="ar"/>
              </w:rPr>
              <w:t xml:space="preserve">是否触及： </w:t>
            </w:r>
            <w:r>
              <w:rPr>
                <w:rStyle w:val="75"/>
                <w:color w:val="auto"/>
                <w:highlight w:val="none"/>
                <w:lang w:val="en-US" w:eastAsia="zh-CN" w:bidi="ar"/>
              </w:rPr>
              <w:t xml:space="preserve">   ，触及第   款项</w:t>
            </w:r>
          </w:p>
        </w:tc>
        <w:tc>
          <w:tcPr>
            <w:tcW w:w="10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7ABB07">
            <w:pPr>
              <w:jc w:val="both"/>
              <w:rPr>
                <w:rFonts w:hint="eastAsia" w:ascii="仿宋" w:hAnsi="仿宋" w:eastAsia="仿宋" w:cs="仿宋"/>
                <w:b/>
                <w:bCs/>
                <w:i w:val="0"/>
                <w:iCs w:val="0"/>
                <w:color w:val="auto"/>
                <w:sz w:val="24"/>
                <w:szCs w:val="24"/>
                <w:highlight w:val="none"/>
                <w:u w:val="none"/>
              </w:rPr>
            </w:pPr>
          </w:p>
        </w:tc>
      </w:tr>
      <w:tr w14:paraId="1DEEE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A1B81">
            <w:pPr>
              <w:jc w:val="center"/>
              <w:rPr>
                <w:rFonts w:hint="eastAsia" w:ascii="仿宋" w:hAnsi="仿宋" w:eastAsia="仿宋" w:cs="仿宋"/>
                <w:b/>
                <w:bCs/>
                <w:i w:val="0"/>
                <w:iCs w:val="0"/>
                <w:color w:val="auto"/>
                <w:sz w:val="24"/>
                <w:szCs w:val="24"/>
                <w:highlight w:val="none"/>
                <w:u w:val="none"/>
              </w:rPr>
            </w:pPr>
          </w:p>
        </w:tc>
        <w:tc>
          <w:tcPr>
            <w:tcW w:w="6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07BC6">
            <w:pPr>
              <w:jc w:val="center"/>
              <w:rPr>
                <w:rFonts w:hint="eastAsia" w:ascii="仿宋" w:hAnsi="仿宋" w:eastAsia="仿宋" w:cs="仿宋"/>
                <w:b/>
                <w:bCs/>
                <w:i w:val="0"/>
                <w:iCs w:val="0"/>
                <w:color w:val="auto"/>
                <w:sz w:val="24"/>
                <w:szCs w:val="24"/>
                <w:highlight w:val="none"/>
                <w:u w:val="none"/>
              </w:rPr>
            </w:pPr>
          </w:p>
        </w:tc>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B4B06">
            <w:pPr>
              <w:jc w:val="both"/>
              <w:rPr>
                <w:rFonts w:hint="eastAsia" w:ascii="仿宋" w:hAnsi="仿宋" w:eastAsia="仿宋" w:cs="仿宋"/>
                <w:b/>
                <w:bCs/>
                <w:i w:val="0"/>
                <w:iCs w:val="0"/>
                <w:color w:val="auto"/>
                <w:sz w:val="24"/>
                <w:szCs w:val="24"/>
                <w:highlight w:val="none"/>
                <w:u w:val="none"/>
              </w:rPr>
            </w:pPr>
          </w:p>
        </w:tc>
      </w:tr>
      <w:tr w14:paraId="197E3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F8C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第一项</w:t>
            </w:r>
          </w:p>
        </w:tc>
        <w:tc>
          <w:tcPr>
            <w:tcW w:w="6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6DD1C0">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供货报价高于采购人市场调研价格，经协商后，拒不调整供货价</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B85B4">
            <w:pPr>
              <w:jc w:val="both"/>
              <w:rPr>
                <w:rFonts w:hint="eastAsia" w:ascii="仿宋" w:hAnsi="仿宋" w:eastAsia="仿宋" w:cs="仿宋"/>
                <w:i w:val="0"/>
                <w:iCs w:val="0"/>
                <w:color w:val="auto"/>
                <w:sz w:val="24"/>
                <w:szCs w:val="24"/>
                <w:highlight w:val="none"/>
                <w:u w:val="none"/>
              </w:rPr>
            </w:pPr>
          </w:p>
        </w:tc>
      </w:tr>
      <w:tr w14:paraId="19A85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89C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第二项</w:t>
            </w:r>
          </w:p>
        </w:tc>
        <w:tc>
          <w:tcPr>
            <w:tcW w:w="6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34144A">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严重不符合食品安全标准的</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A976">
            <w:pPr>
              <w:jc w:val="both"/>
              <w:rPr>
                <w:rFonts w:hint="eastAsia" w:ascii="仿宋" w:hAnsi="仿宋" w:eastAsia="仿宋" w:cs="仿宋"/>
                <w:i w:val="0"/>
                <w:iCs w:val="0"/>
                <w:color w:val="auto"/>
                <w:sz w:val="24"/>
                <w:szCs w:val="24"/>
                <w:highlight w:val="none"/>
                <w:u w:val="none"/>
              </w:rPr>
            </w:pPr>
          </w:p>
        </w:tc>
      </w:tr>
      <w:tr w14:paraId="0B0F7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C19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第三项</w:t>
            </w:r>
          </w:p>
        </w:tc>
        <w:tc>
          <w:tcPr>
            <w:tcW w:w="6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BEC92B">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配送含有腐败变质产品的</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09CC">
            <w:pPr>
              <w:jc w:val="both"/>
              <w:rPr>
                <w:rFonts w:hint="eastAsia" w:ascii="仿宋" w:hAnsi="仿宋" w:eastAsia="仿宋" w:cs="仿宋"/>
                <w:i w:val="0"/>
                <w:iCs w:val="0"/>
                <w:color w:val="auto"/>
                <w:sz w:val="24"/>
                <w:szCs w:val="24"/>
                <w:highlight w:val="none"/>
                <w:u w:val="none"/>
              </w:rPr>
            </w:pPr>
          </w:p>
        </w:tc>
      </w:tr>
      <w:tr w14:paraId="49C44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AA4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第四项</w:t>
            </w:r>
          </w:p>
        </w:tc>
        <w:tc>
          <w:tcPr>
            <w:tcW w:w="6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83FF89">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配送超过保质期的货品</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0BCB">
            <w:pPr>
              <w:jc w:val="both"/>
              <w:rPr>
                <w:rFonts w:hint="eastAsia" w:ascii="仿宋" w:hAnsi="仿宋" w:eastAsia="仿宋" w:cs="仿宋"/>
                <w:i w:val="0"/>
                <w:iCs w:val="0"/>
                <w:color w:val="auto"/>
                <w:sz w:val="24"/>
                <w:szCs w:val="24"/>
                <w:highlight w:val="none"/>
                <w:u w:val="none"/>
              </w:rPr>
            </w:pPr>
          </w:p>
        </w:tc>
      </w:tr>
      <w:tr w14:paraId="32C1A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2060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第五项</w:t>
            </w:r>
          </w:p>
        </w:tc>
        <w:tc>
          <w:tcPr>
            <w:tcW w:w="6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1E60BF">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不符合《食品安全国家标准》规定的，国家明令禁止生产经营的</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C00B">
            <w:pPr>
              <w:jc w:val="both"/>
              <w:rPr>
                <w:rFonts w:hint="eastAsia" w:ascii="仿宋" w:hAnsi="仿宋" w:eastAsia="仿宋" w:cs="仿宋"/>
                <w:i w:val="0"/>
                <w:iCs w:val="0"/>
                <w:color w:val="auto"/>
                <w:sz w:val="24"/>
                <w:szCs w:val="24"/>
                <w:highlight w:val="none"/>
                <w:u w:val="none"/>
              </w:rPr>
            </w:pPr>
          </w:p>
        </w:tc>
      </w:tr>
      <w:tr w14:paraId="0C418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8BA9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第六项</w:t>
            </w:r>
          </w:p>
        </w:tc>
        <w:tc>
          <w:tcPr>
            <w:tcW w:w="6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05FF4">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兽药残留、生物毒素、重金属等污染物严重超过食品安全标准限量的</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E90E">
            <w:pPr>
              <w:jc w:val="both"/>
              <w:rPr>
                <w:rFonts w:hint="eastAsia" w:ascii="仿宋" w:hAnsi="仿宋" w:eastAsia="仿宋" w:cs="仿宋"/>
                <w:i w:val="0"/>
                <w:iCs w:val="0"/>
                <w:color w:val="auto"/>
                <w:sz w:val="24"/>
                <w:szCs w:val="24"/>
                <w:highlight w:val="none"/>
                <w:u w:val="none"/>
              </w:rPr>
            </w:pPr>
          </w:p>
        </w:tc>
      </w:tr>
      <w:tr w14:paraId="28A97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F57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第七项</w:t>
            </w:r>
          </w:p>
        </w:tc>
        <w:tc>
          <w:tcPr>
            <w:tcW w:w="6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7A3FC9">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未经检疫或者检疫不合格，或虽经检疫但未能随货提供有效动物检疫合格证明及肉品品质检验合格证的</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3040">
            <w:pPr>
              <w:jc w:val="both"/>
              <w:rPr>
                <w:rFonts w:hint="eastAsia" w:ascii="仿宋" w:hAnsi="仿宋" w:eastAsia="仿宋" w:cs="仿宋"/>
                <w:i w:val="0"/>
                <w:iCs w:val="0"/>
                <w:color w:val="auto"/>
                <w:sz w:val="24"/>
                <w:szCs w:val="24"/>
                <w:highlight w:val="none"/>
                <w:u w:val="none"/>
              </w:rPr>
            </w:pPr>
          </w:p>
        </w:tc>
      </w:tr>
      <w:tr w14:paraId="410A1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D50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第八项</w:t>
            </w:r>
          </w:p>
        </w:tc>
        <w:tc>
          <w:tcPr>
            <w:tcW w:w="6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E83AB">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注水、注胶或注入其他物质，以及使用禁用兽药、化合物进行饲养或加工的</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6E562">
            <w:pPr>
              <w:jc w:val="both"/>
              <w:rPr>
                <w:rFonts w:hint="eastAsia" w:ascii="仿宋" w:hAnsi="仿宋" w:eastAsia="仿宋" w:cs="仿宋"/>
                <w:i w:val="0"/>
                <w:iCs w:val="0"/>
                <w:color w:val="auto"/>
                <w:sz w:val="24"/>
                <w:szCs w:val="24"/>
                <w:highlight w:val="none"/>
                <w:u w:val="none"/>
              </w:rPr>
            </w:pPr>
          </w:p>
        </w:tc>
      </w:tr>
      <w:tr w14:paraId="5CB5C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A51F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第九项</w:t>
            </w:r>
          </w:p>
        </w:tc>
        <w:tc>
          <w:tcPr>
            <w:tcW w:w="6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E7F72">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用回收食品作为原料生产的</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B1DDE">
            <w:pPr>
              <w:jc w:val="both"/>
              <w:rPr>
                <w:rFonts w:hint="eastAsia" w:ascii="仿宋" w:hAnsi="仿宋" w:eastAsia="仿宋" w:cs="仿宋"/>
                <w:i w:val="0"/>
                <w:iCs w:val="0"/>
                <w:color w:val="auto"/>
                <w:sz w:val="24"/>
                <w:szCs w:val="24"/>
                <w:highlight w:val="none"/>
                <w:u w:val="none"/>
              </w:rPr>
            </w:pPr>
          </w:p>
        </w:tc>
      </w:tr>
      <w:tr w14:paraId="48855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150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第十项</w:t>
            </w:r>
          </w:p>
        </w:tc>
        <w:tc>
          <w:tcPr>
            <w:tcW w:w="6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61847">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其他严重违反国家法律法规及行政主管部门强制性规定的</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EA7A">
            <w:pPr>
              <w:jc w:val="both"/>
              <w:rPr>
                <w:rFonts w:hint="eastAsia" w:ascii="仿宋" w:hAnsi="仿宋" w:eastAsia="仿宋" w:cs="仿宋"/>
                <w:i w:val="0"/>
                <w:iCs w:val="0"/>
                <w:color w:val="auto"/>
                <w:sz w:val="24"/>
                <w:szCs w:val="24"/>
                <w:highlight w:val="none"/>
                <w:u w:val="none"/>
              </w:rPr>
            </w:pPr>
          </w:p>
        </w:tc>
      </w:tr>
      <w:tr w14:paraId="37F84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619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第十一项</w:t>
            </w:r>
          </w:p>
        </w:tc>
        <w:tc>
          <w:tcPr>
            <w:tcW w:w="6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587B4">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进口水产品无入境货物检验检疫证明的</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36F3">
            <w:pPr>
              <w:jc w:val="both"/>
              <w:rPr>
                <w:rFonts w:hint="eastAsia" w:ascii="仿宋" w:hAnsi="仿宋" w:eastAsia="仿宋" w:cs="仿宋"/>
                <w:i w:val="0"/>
                <w:iCs w:val="0"/>
                <w:color w:val="auto"/>
                <w:sz w:val="24"/>
                <w:szCs w:val="24"/>
                <w:highlight w:val="none"/>
                <w:u w:val="none"/>
              </w:rPr>
            </w:pPr>
          </w:p>
        </w:tc>
      </w:tr>
      <w:tr w14:paraId="62582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31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第十二项</w:t>
            </w:r>
          </w:p>
        </w:tc>
        <w:tc>
          <w:tcPr>
            <w:tcW w:w="6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55567">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农药残留、污染物超标的</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6DD7">
            <w:pPr>
              <w:jc w:val="both"/>
              <w:rPr>
                <w:rFonts w:hint="eastAsia" w:ascii="仿宋" w:hAnsi="仿宋" w:eastAsia="仿宋" w:cs="仿宋"/>
                <w:i w:val="0"/>
                <w:iCs w:val="0"/>
                <w:color w:val="auto"/>
                <w:sz w:val="24"/>
                <w:szCs w:val="24"/>
                <w:highlight w:val="none"/>
                <w:u w:val="none"/>
              </w:rPr>
            </w:pPr>
          </w:p>
        </w:tc>
      </w:tr>
      <w:tr w14:paraId="509A1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AE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第十三项</w:t>
            </w:r>
          </w:p>
        </w:tc>
        <w:tc>
          <w:tcPr>
            <w:tcW w:w="6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4B1C5">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其他存在违反合同规定的情况</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4C587">
            <w:pPr>
              <w:jc w:val="left"/>
              <w:rPr>
                <w:rFonts w:hint="eastAsia" w:ascii="仿宋" w:hAnsi="仿宋" w:eastAsia="仿宋" w:cs="仿宋"/>
                <w:i w:val="0"/>
                <w:iCs w:val="0"/>
                <w:color w:val="auto"/>
                <w:sz w:val="24"/>
                <w:szCs w:val="24"/>
                <w:highlight w:val="none"/>
                <w:u w:val="none"/>
              </w:rPr>
            </w:pPr>
          </w:p>
        </w:tc>
      </w:tr>
      <w:tr w14:paraId="7D912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0" w:hRule="atLeast"/>
        </w:trPr>
        <w:tc>
          <w:tcPr>
            <w:tcW w:w="8613"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609E443A">
            <w:pPr>
              <w:keepNext w:val="0"/>
              <w:keepLines w:val="0"/>
              <w:widowControl/>
              <w:suppressLineNumbers w:val="0"/>
              <w:jc w:val="both"/>
              <w:textAlignment w:val="top"/>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注：一、供应商考核周期以自然月为单位，根据评分结果对供应商执行定级管理，评分等级划分及对应分值范围如下：</w:t>
            </w:r>
            <w:r>
              <w:rPr>
                <w:rFonts w:hint="eastAsia" w:ascii="仿宋" w:hAnsi="仿宋" w:eastAsia="仿宋" w:cs="仿宋"/>
                <w:i w:val="0"/>
                <w:iCs w:val="0"/>
                <w:color w:val="auto"/>
                <w:kern w:val="0"/>
                <w:sz w:val="24"/>
                <w:szCs w:val="24"/>
                <w:highlight w:val="none"/>
                <w:u w:val="none"/>
                <w:lang w:val="en-US" w:eastAsia="zh-CN" w:bidi="ar"/>
              </w:rPr>
              <w:br w:type="textWrapping"/>
            </w:r>
            <w:r>
              <w:rPr>
                <w:rFonts w:hint="eastAsia" w:ascii="仿宋" w:hAnsi="仿宋" w:eastAsia="仿宋" w:cs="仿宋"/>
                <w:i w:val="0"/>
                <w:iCs w:val="0"/>
                <w:color w:val="auto"/>
                <w:kern w:val="0"/>
                <w:sz w:val="24"/>
                <w:szCs w:val="24"/>
                <w:highlight w:val="none"/>
                <w:u w:val="none"/>
                <w:lang w:val="en-US" w:eastAsia="zh-CN" w:bidi="ar"/>
              </w:rPr>
              <w:t>1、A级（优秀）：90≦得分≦100；2、B级（良好）：80≦得分＜90；3、C级（合格）：70≦得分＜80；4、D级（不合格）：得分＜70。</w:t>
            </w:r>
            <w:r>
              <w:rPr>
                <w:rFonts w:hint="eastAsia" w:ascii="仿宋" w:hAnsi="仿宋" w:eastAsia="仿宋" w:cs="仿宋"/>
                <w:i w:val="0"/>
                <w:iCs w:val="0"/>
                <w:color w:val="auto"/>
                <w:kern w:val="0"/>
                <w:sz w:val="24"/>
                <w:szCs w:val="24"/>
                <w:highlight w:val="none"/>
                <w:u w:val="none"/>
                <w:lang w:val="en-US" w:eastAsia="zh-CN" w:bidi="ar"/>
              </w:rPr>
              <w:br w:type="textWrapping"/>
            </w:r>
            <w:r>
              <w:rPr>
                <w:rFonts w:hint="eastAsia" w:ascii="仿宋" w:hAnsi="仿宋" w:eastAsia="仿宋" w:cs="仿宋"/>
                <w:i w:val="0"/>
                <w:iCs w:val="0"/>
                <w:color w:val="auto"/>
                <w:kern w:val="0"/>
                <w:sz w:val="24"/>
                <w:szCs w:val="24"/>
                <w:highlight w:val="none"/>
                <w:u w:val="none"/>
                <w:lang w:val="en-US" w:eastAsia="zh-CN" w:bidi="ar"/>
              </w:rPr>
              <w:t>二、合作期间，供应商出现以下情况之一的，采购人有权单方解除合同，取消其供应资格，并不予退还履约保证金，且两年内不得参与采购人任何采购活动；供应商退出后，如有明确备选则按序递补，否则重新组织采购：</w:t>
            </w:r>
            <w:r>
              <w:rPr>
                <w:rFonts w:hint="eastAsia" w:ascii="仿宋" w:hAnsi="仿宋" w:eastAsia="仿宋" w:cs="仿宋"/>
                <w:i w:val="0"/>
                <w:iCs w:val="0"/>
                <w:color w:val="auto"/>
                <w:kern w:val="0"/>
                <w:sz w:val="24"/>
                <w:szCs w:val="24"/>
                <w:highlight w:val="none"/>
                <w:u w:val="none"/>
                <w:lang w:val="en-US" w:eastAsia="zh-CN" w:bidi="ar"/>
              </w:rPr>
              <w:br w:type="textWrapping"/>
            </w:r>
            <w:r>
              <w:rPr>
                <w:rFonts w:hint="eastAsia" w:ascii="仿宋" w:hAnsi="仿宋" w:eastAsia="仿宋" w:cs="仿宋"/>
                <w:i w:val="0"/>
                <w:iCs w:val="0"/>
                <w:color w:val="auto"/>
                <w:kern w:val="0"/>
                <w:sz w:val="24"/>
                <w:szCs w:val="24"/>
                <w:highlight w:val="none"/>
                <w:u w:val="none"/>
                <w:lang w:val="en-US" w:eastAsia="zh-CN" w:bidi="ar"/>
              </w:rPr>
              <w:t>1、供应商出现D级评定；2、连续两个月C级；3、累计3次重大失误影响经营，4、在供货报价中串通舞弊。</w:t>
            </w:r>
          </w:p>
        </w:tc>
      </w:tr>
    </w:tbl>
    <w:p w14:paraId="4C0895DB">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default" w:ascii="仿宋" w:hAnsi="仿宋" w:eastAsia="仿宋" w:cs="仿宋"/>
          <w:b/>
          <w:color w:val="auto"/>
          <w:kern w:val="0"/>
          <w:sz w:val="24"/>
          <w:szCs w:val="24"/>
          <w:highlight w:val="none"/>
          <w:lang w:val="en-US" w:eastAsia="zh-CN" w:bidi="ar-SA"/>
        </w:rPr>
      </w:pPr>
      <w:bookmarkStart w:id="25" w:name="_Toc3921"/>
      <w:r>
        <w:rPr>
          <w:rFonts w:hint="eastAsia" w:ascii="仿宋" w:hAnsi="仿宋" w:eastAsia="仿宋" w:cs="仿宋"/>
          <w:b/>
          <w:color w:val="auto"/>
          <w:kern w:val="0"/>
          <w:sz w:val="24"/>
          <w:szCs w:val="24"/>
          <w:highlight w:val="none"/>
          <w:lang w:val="en-US" w:eastAsia="zh-CN" w:bidi="ar-SA"/>
        </w:rPr>
        <w:t>9.供应商履约能力要求</w:t>
      </w:r>
      <w:bookmarkEnd w:id="25"/>
    </w:p>
    <w:p w14:paraId="60DF0F44">
      <w:pPr>
        <w:pStyle w:val="63"/>
        <w:keepNext w:val="0"/>
        <w:keepLines w:val="0"/>
        <w:pageBreakBefore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9.1食材质量保障体系</w:t>
      </w:r>
    </w:p>
    <w:p w14:paraId="0086ADBD">
      <w:pPr>
        <w:pStyle w:val="63"/>
        <w:keepNext w:val="0"/>
        <w:keepLines w:val="0"/>
        <w:pageBreakBefore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要求</w:t>
      </w:r>
      <w:r>
        <w:rPr>
          <w:rStyle w:val="62"/>
          <w:rFonts w:hint="default" w:ascii="仿宋" w:hAnsi="仿宋" w:eastAsia="仿宋" w:cs="仿宋"/>
          <w:b w:val="0"/>
          <w:bCs w:val="0"/>
          <w:color w:val="auto"/>
          <w:sz w:val="24"/>
          <w:szCs w:val="24"/>
          <w:highlight w:val="none"/>
          <w:lang w:val="en-US" w:eastAsia="zh-CN"/>
        </w:rPr>
        <w:t>供应商建立并运行有效的食材质量保障体系，以确保所供食材持续满足国家法规、行业标准及本文件</w:t>
      </w:r>
      <w:r>
        <w:rPr>
          <w:rStyle w:val="62"/>
          <w:rFonts w:hint="eastAsia" w:ascii="仿宋" w:hAnsi="仿宋" w:eastAsia="仿宋" w:cs="仿宋"/>
          <w:b w:val="0"/>
          <w:bCs w:val="0"/>
          <w:color w:val="auto"/>
          <w:sz w:val="24"/>
          <w:szCs w:val="24"/>
          <w:highlight w:val="none"/>
          <w:lang w:val="en-US" w:eastAsia="zh-CN"/>
        </w:rPr>
        <w:t>2.4</w:t>
      </w:r>
      <w:r>
        <w:rPr>
          <w:rStyle w:val="62"/>
          <w:rFonts w:hint="default" w:ascii="仿宋" w:hAnsi="仿宋" w:eastAsia="仿宋" w:cs="仿宋"/>
          <w:b w:val="0"/>
          <w:bCs w:val="0"/>
          <w:color w:val="auto"/>
          <w:sz w:val="24"/>
          <w:szCs w:val="24"/>
          <w:highlight w:val="none"/>
          <w:lang w:val="en-US" w:eastAsia="zh-CN"/>
        </w:rPr>
        <w:t>章节所规定的各项质量标准。该体系至少包含以下要素：</w:t>
      </w:r>
    </w:p>
    <w:p w14:paraId="0D0361F5">
      <w:pPr>
        <w:pStyle w:val="63"/>
        <w:keepNext w:val="0"/>
        <w:keepLines w:val="0"/>
        <w:pageBreakBefore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Fonts w:ascii="仿宋" w:hAnsi="仿宋" w:eastAsia="仿宋"/>
          <w:color w:val="auto"/>
          <w:sz w:val="24"/>
          <w:highlight w:val="none"/>
        </w:rPr>
        <w:t>9.1.1 供应商管理</w:t>
      </w:r>
      <w:r>
        <w:rPr>
          <w:rFonts w:ascii="仿宋" w:hAnsi="仿宋" w:eastAsia="仿宋"/>
          <w:b w:val="0"/>
          <w:bCs w:val="0"/>
          <w:color w:val="auto"/>
          <w:sz w:val="24"/>
          <w:highlight w:val="none"/>
        </w:rPr>
        <w:t>与索证索票制度：建立严格的合格供应商评估机制，所有原材料来源须合法合规、资质齐全。</w:t>
      </w:r>
      <w:r>
        <w:rPr>
          <w:rFonts w:hint="eastAsia" w:ascii="仿宋" w:hAnsi="仿宋" w:eastAsia="仿宋"/>
          <w:b w:val="0"/>
          <w:bCs w:val="0"/>
          <w:color w:val="auto"/>
          <w:sz w:val="24"/>
          <w:highlight w:val="none"/>
          <w:lang w:eastAsia="zh-CN"/>
        </w:rPr>
        <w:t>须</w:t>
      </w:r>
      <w:r>
        <w:rPr>
          <w:rFonts w:ascii="仿宋" w:hAnsi="仿宋" w:eastAsia="仿宋"/>
          <w:b w:val="0"/>
          <w:bCs w:val="0"/>
          <w:color w:val="auto"/>
          <w:sz w:val="24"/>
          <w:highlight w:val="none"/>
        </w:rPr>
        <w:t>按采购人要求，随时提供上游供应商的营业执照、食品生产/经营许可证、产品批次检验报告等完整索证索票资料，确保食材来源清晰、可追溯。</w:t>
      </w:r>
    </w:p>
    <w:p w14:paraId="02E9C9EA">
      <w:pPr>
        <w:pStyle w:val="63"/>
        <w:keepNext w:val="0"/>
        <w:keepLines w:val="0"/>
        <w:pageBreakBefore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9.1.2 进货查验与记录制度：对所有采购的食材执行严格的进货查验，如实记录食品的名称、规格、数量、生产日期或者生产批号、保质期、进货日期以及供货者名称、地址、联系方式等内容，并保存相关凭证。记录和凭证保存期限不得少于产品保质期满后六个月；没有明确保质期的，保存期限不得少于二年。</w:t>
      </w:r>
    </w:p>
    <w:p w14:paraId="2F90EFCA">
      <w:pPr>
        <w:pStyle w:val="63"/>
        <w:keepNext w:val="0"/>
        <w:keepLines w:val="0"/>
        <w:pageBreakBefore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9.1.3 加工与分拣规范：制定并执行严格的加工分拣操作规范，确保在分拣、加工、包装过程中，有效剔除腐败变质、感官性状异常等不合格品。确保出库食材的食用率（如蔬菜）和净含量符合合同要求。</w:t>
      </w:r>
    </w:p>
    <w:p w14:paraId="6D4D17B7">
      <w:pPr>
        <w:pStyle w:val="63"/>
        <w:keepNext w:val="0"/>
        <w:keepLines w:val="0"/>
        <w:pageBreakBefore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 xml:space="preserve">9.1.4 运输过程质量管控：建立运输过程质量管控制度，针对不同食材品类（如冷冻品、冷藏品、常温品）设定并监控运输温度、湿度等关键参数，并保留监控记录，确保食材在交付前的品质不受影响。  </w:t>
      </w:r>
    </w:p>
    <w:p w14:paraId="63E72B79">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9.2第三方送检：供应商响应文件中须提供第三方检测报告，报告由具备 CMA 资质认定的检测机构出具，检测内容涵盖肉类、蔬菜、大米、食用油，且出具日期在响应文件递交截止日前6个月内。履约过程应按采购人要求每季度将主要食材品类（肉类、蔬菜、大米、食用油）送至具有CMA资质认定的第三方检测机构进行检测，并提供合格的检测报告。</w:t>
      </w:r>
    </w:p>
    <w:p w14:paraId="0C6120BE">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9.3食品安全管理</w:t>
      </w:r>
    </w:p>
    <w:p w14:paraId="17DFEE93">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Fonts w:ascii="仿宋" w:hAnsi="仿宋" w:eastAsia="仿宋"/>
          <w:b w:val="0"/>
          <w:bCs w:val="0"/>
          <w:color w:val="auto"/>
          <w:sz w:val="24"/>
          <w:highlight w:val="none"/>
        </w:rPr>
        <w:t>9.3.1  溯源管理：要求供应商建立完善的食品溯源体系，确保所有食材来源清晰、可追溯。</w:t>
      </w:r>
      <w:r>
        <w:rPr>
          <w:rFonts w:hint="eastAsia" w:ascii="仿宋" w:hAnsi="仿宋" w:eastAsia="仿宋"/>
          <w:b w:val="0"/>
          <w:bCs w:val="0"/>
          <w:color w:val="auto"/>
          <w:sz w:val="24"/>
          <w:highlight w:val="none"/>
          <w:lang w:eastAsia="zh-CN"/>
        </w:rPr>
        <w:t>须</w:t>
      </w:r>
      <w:r>
        <w:rPr>
          <w:rFonts w:ascii="仿宋" w:hAnsi="仿宋" w:eastAsia="仿宋"/>
          <w:b w:val="0"/>
          <w:bCs w:val="0"/>
          <w:color w:val="auto"/>
          <w:sz w:val="24"/>
          <w:highlight w:val="none"/>
        </w:rPr>
        <w:t>提供完整的供货商资质、进货凭证和检验报告。响应文件提供溯源管理体系方案。</w:t>
      </w:r>
    </w:p>
    <w:p w14:paraId="5D4FE89E">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9.3.2 应急预案：要求供应商制定详细的食品安全应急预案，涵盖食物中毒、紧急配送、突发停水停电等情况的处理流程。响应文件提供应急预案。</w:t>
      </w:r>
    </w:p>
    <w:p w14:paraId="6A632B5F">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9.4拟派团队要求：要求供应商为本项目配备稳定的服务团队，其中包含：项目负责人、食品安全员、分拣员、配送员；响应文件提供上述人员名单（内容包含姓名、性别、身份证号码、岗位职责）、相关证书（可附网页截图）、有效的健康证明及响应文件递交截止时间前6个月内为其缴纳的社保证明材料。</w:t>
      </w:r>
    </w:p>
    <w:p w14:paraId="7DEDE079">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9.5食材配送管理</w:t>
      </w:r>
    </w:p>
    <w:p w14:paraId="72EF92F9">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9.5.1 配送时效：供应商须严格按照采购人订单要求的时间（每日上午7:30前）将食材（包含成品早餐，例如包子、米果等）送达采购人食堂。对于紧急补货需求，应在接到通知后1—2小时内送达。（注：因采购人节假日期间员工集体上班、节后调休，法定节假日期间均按采购人要求保障配送。）</w:t>
      </w:r>
    </w:p>
    <w:p w14:paraId="5BA29396">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9.5.2 运输车辆：运输生鲜食材应使用冷链车辆，确保食材在运输过程中的温度符合食品安全要求，保证车辆清洁卫生，定期消毒。供应商为自有车辆的，提供车辆登记证、行驶证、车辆照片（包含整体车头、车厢侧面、车厢内部及尾部车牌照片各一张）及车辆保险扫描件并加盖公章；供应商为租赁车辆的，提供租赁合同（租赁合同期限需覆盖本项目服务期）、车辆登记证、行驶证、车辆照片（包含整体车头、车厢侧面、车厢内部及尾部车牌照片各一张）及车辆保险扫描件并加盖公章；</w:t>
      </w:r>
    </w:p>
    <w:p w14:paraId="253515E4">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9.5.3 配送单据：每次配送须随货提供一式三联的送货清单，载明货物名称、品牌、规格、数量、单价、金额等信息，并与采购人验收人员共同签字确认。</w:t>
      </w:r>
    </w:p>
    <w:p w14:paraId="1780C137">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9.6仓库和场地</w:t>
      </w:r>
    </w:p>
    <w:p w14:paraId="7BE1E21F">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9.6.1 仓储要求：供应商履约阶段应在赣州市区内拥有固定的、满足食品储存条件的经营或仓储场地。场地应干净、通风、无污染源，具备防鼠、防虫、防潮设施。</w:t>
      </w:r>
    </w:p>
    <w:p w14:paraId="7D405F11">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9.6.2 分区管理：仓库应实行分区管理，做到干湿分离、生熟分开。有满足要求的冷藏库和冷冻库，用于储存易腐食品，并确保温度监控设备正常运行。</w:t>
      </w:r>
    </w:p>
    <w:p w14:paraId="3101EBFE">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r>
        <w:rPr>
          <w:rFonts w:hint="eastAsia" w:ascii="仿宋" w:hAnsi="仿宋" w:eastAsia="仿宋" w:cs="仿宋"/>
          <w:b/>
          <w:color w:val="auto"/>
          <w:kern w:val="0"/>
          <w:sz w:val="24"/>
          <w:szCs w:val="24"/>
          <w:highlight w:val="none"/>
          <w:lang w:val="en-US" w:eastAsia="zh-CN" w:bidi="ar-SA"/>
        </w:rPr>
        <w:t>10其他需说明的事项</w:t>
      </w:r>
    </w:p>
    <w:p w14:paraId="58DC5BB4">
      <w:pPr>
        <w:pStyle w:val="63"/>
        <w:keepNext w:val="0"/>
        <w:keepLines w:val="0"/>
        <w:pageBreakBefore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color w:val="auto"/>
          <w:sz w:val="24"/>
          <w:szCs w:val="24"/>
          <w:highlight w:val="none"/>
        </w:rPr>
      </w:pPr>
      <w:r>
        <w:rPr>
          <w:rStyle w:val="62"/>
          <w:rFonts w:hint="eastAsia" w:ascii="仿宋" w:hAnsi="仿宋" w:eastAsia="仿宋" w:cs="仿宋"/>
          <w:b w:val="0"/>
          <w:bCs w:val="0"/>
          <w:color w:val="auto"/>
          <w:sz w:val="24"/>
          <w:szCs w:val="24"/>
          <w:highlight w:val="none"/>
          <w:lang w:val="en-US" w:eastAsia="zh-CN"/>
        </w:rPr>
        <w:t>10.1</w:t>
      </w:r>
      <w:r>
        <w:rPr>
          <w:rStyle w:val="62"/>
          <w:rFonts w:hint="eastAsia" w:ascii="仿宋" w:hAnsi="仿宋" w:eastAsia="仿宋" w:cs="仿宋"/>
          <w:b/>
          <w:bCs w:val="0"/>
          <w:color w:val="auto"/>
          <w:sz w:val="24"/>
          <w:szCs w:val="24"/>
          <w:highlight w:val="none"/>
          <w:lang w:val="en-US" w:eastAsia="zh-CN"/>
        </w:rPr>
        <w:t>供应商须将响应文件装订成册，响应文件正本一份，副本一份</w:t>
      </w:r>
      <w:r>
        <w:rPr>
          <w:rStyle w:val="62"/>
          <w:rFonts w:hint="eastAsia" w:ascii="仿宋" w:hAnsi="仿宋" w:eastAsia="仿宋" w:cs="仿宋"/>
          <w:b w:val="0"/>
          <w:bCs w:val="0"/>
          <w:color w:val="auto"/>
          <w:sz w:val="24"/>
          <w:szCs w:val="24"/>
          <w:highlight w:val="none"/>
          <w:lang w:val="en-US" w:eastAsia="zh-CN"/>
        </w:rPr>
        <w:t>。正本和副本的封面右上角应清楚地标记“正本”或“副本”的字样。并且用文件袋进行密封，在封口处加盖公章。</w:t>
      </w:r>
    </w:p>
    <w:p w14:paraId="0BAF498E">
      <w:pPr>
        <w:pStyle w:val="63"/>
        <w:keepNext w:val="0"/>
        <w:keepLines w:val="0"/>
        <w:pageBreakBefore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color w:val="auto"/>
          <w:sz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10.2</w:t>
      </w:r>
      <w:r>
        <w:rPr>
          <w:rStyle w:val="62"/>
          <w:rFonts w:hint="eastAsia" w:ascii="仿宋" w:hAnsi="仿宋" w:eastAsia="仿宋" w:cs="仿宋"/>
          <w:b w:val="0"/>
          <w:bCs/>
          <w:color w:val="auto"/>
          <w:sz w:val="24"/>
          <w:szCs w:val="24"/>
          <w:highlight w:val="none"/>
          <w:lang w:val="en-US" w:eastAsia="zh-CN"/>
        </w:rPr>
        <w:t>供应商恶意低价报价导致未能诚信履约的，采购人将取消其供应资格，不予退还履约保证金，并列为黑名单，两年内不得参与采购人任何采购活动。</w:t>
      </w:r>
    </w:p>
    <w:p w14:paraId="53676B69">
      <w:pPr>
        <w:pageBreakBefore w:val="0"/>
        <w:kinsoku/>
        <w:wordWrap/>
        <w:overflowPunct/>
        <w:bidi w:val="0"/>
        <w:spacing w:line="52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br w:type="page"/>
      </w:r>
    </w:p>
    <w:p w14:paraId="7D5CF864">
      <w:pPr>
        <w:keepNext w:val="0"/>
        <w:keepLines w:val="0"/>
        <w:pageBreakBefore w:val="0"/>
        <w:widowControl w:val="0"/>
        <w:kinsoku/>
        <w:wordWrap/>
        <w:overflowPunct/>
        <w:topLinePunct w:val="0"/>
        <w:autoSpaceDE/>
        <w:autoSpaceDN/>
        <w:bidi w:val="0"/>
        <w:adjustRightInd/>
        <w:snapToGrid/>
        <w:spacing w:after="200" w:line="520" w:lineRule="exact"/>
        <w:jc w:val="center"/>
        <w:textAlignment w:val="auto"/>
        <w:outlineLvl w:val="1"/>
        <w:rPr>
          <w:rFonts w:hint="eastAsia" w:ascii="仿宋" w:hAnsi="仿宋" w:eastAsia="仿宋" w:cs="仿宋"/>
          <w:b/>
          <w:bCs/>
          <w:color w:val="auto"/>
          <w:sz w:val="44"/>
          <w:szCs w:val="44"/>
          <w:highlight w:val="none"/>
          <w:lang w:val="en-US" w:eastAsia="zh-CN"/>
        </w:rPr>
      </w:pPr>
      <w:bookmarkStart w:id="26" w:name="_Toc12727"/>
      <w:r>
        <w:rPr>
          <w:rFonts w:hint="eastAsia" w:ascii="仿宋" w:hAnsi="仿宋" w:eastAsia="仿宋" w:cs="仿宋"/>
          <w:b/>
          <w:bCs/>
          <w:color w:val="auto"/>
          <w:sz w:val="44"/>
          <w:szCs w:val="44"/>
          <w:highlight w:val="none"/>
          <w:lang w:val="en-US" w:eastAsia="zh-CN"/>
        </w:rPr>
        <w:t>第三章评审办法</w:t>
      </w:r>
      <w:bookmarkEnd w:id="26"/>
    </w:p>
    <w:p w14:paraId="48225CDE">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27" w:name="_Toc8083"/>
      <w:bookmarkStart w:id="28" w:name="bookmark272"/>
      <w:bookmarkStart w:id="29" w:name="bookmark270"/>
      <w:bookmarkStart w:id="30" w:name="_Toc24086"/>
      <w:bookmarkStart w:id="31" w:name="_Toc1201"/>
      <w:bookmarkStart w:id="32" w:name="_Toc17908"/>
      <w:bookmarkStart w:id="33" w:name="_Toc15079_WPSOffice_Level3"/>
      <w:bookmarkStart w:id="34" w:name="_Toc2669"/>
      <w:bookmarkStart w:id="35" w:name="_Toc1993"/>
      <w:bookmarkStart w:id="36" w:name="_Toc15065"/>
      <w:bookmarkStart w:id="37" w:name="bookmark271"/>
      <w:r>
        <w:rPr>
          <w:rFonts w:hint="eastAsia" w:ascii="仿宋" w:hAnsi="仿宋" w:eastAsia="仿宋" w:cs="仿宋"/>
          <w:b/>
          <w:color w:val="auto"/>
          <w:kern w:val="0"/>
          <w:sz w:val="24"/>
          <w:szCs w:val="24"/>
          <w:highlight w:val="none"/>
          <w:lang w:val="en-US" w:eastAsia="zh-CN" w:bidi="ar-SA"/>
        </w:rPr>
        <w:t>1.评审办法</w:t>
      </w:r>
      <w:bookmarkEnd w:id="27"/>
      <w:bookmarkStart w:id="38" w:name="bookmark261"/>
      <w:bookmarkStart w:id="39" w:name="bookmark262"/>
      <w:bookmarkStart w:id="40" w:name="_Toc24697"/>
      <w:bookmarkStart w:id="41" w:name="_Toc4220_WPSOffice_Level3"/>
      <w:bookmarkStart w:id="42" w:name="bookmark263"/>
      <w:bookmarkStart w:id="43" w:name="_Toc22747"/>
      <w:bookmarkStart w:id="44" w:name="_Toc8454"/>
      <w:bookmarkStart w:id="45" w:name="_Toc30068"/>
      <w:bookmarkStart w:id="46" w:name="_Toc16808"/>
    </w:p>
    <w:bookmarkEnd w:id="38"/>
    <w:p w14:paraId="243F359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b w:val="0"/>
          <w:bCs w:val="0"/>
          <w:color w:val="auto"/>
          <w:kern w:val="2"/>
          <w:sz w:val="24"/>
          <w:szCs w:val="24"/>
          <w:highlight w:val="none"/>
          <w:lang w:val="en-US" w:eastAsia="zh-CN" w:bidi="ar-SA"/>
        </w:rPr>
      </w:pPr>
      <w:bookmarkStart w:id="47" w:name="_Toc20187"/>
      <w:r>
        <w:rPr>
          <w:rFonts w:hint="eastAsia" w:ascii="仿宋" w:hAnsi="仿宋" w:eastAsia="仿宋" w:cs="仿宋"/>
          <w:b w:val="0"/>
          <w:bCs w:val="0"/>
          <w:color w:val="auto"/>
          <w:kern w:val="2"/>
          <w:sz w:val="24"/>
          <w:szCs w:val="24"/>
          <w:highlight w:val="none"/>
          <w:lang w:val="en-US" w:eastAsia="zh-CN" w:bidi="ar-SA"/>
        </w:rPr>
        <w:t>本次框架协议供应商入围征集评审采用最低评标价法。确定初步评审入围供应商时，提交响应文件和符合资格条件、实质性要求的响应供应商应当均不少于2家。评审工作由赣州旅投景区管理集团有限公司组建的评审委员会负责。评审委员会依据有效报价下浮率从高到低对合格响应供应商进行排序，并按20%的淘汰率（至少淘汰1家）确定入围供应商。最终入围供应商与采购人签订框架协议。</w:t>
      </w:r>
      <w:bookmarkEnd w:id="47"/>
    </w:p>
    <w:p w14:paraId="0BA14E61">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48" w:name="_Toc11842"/>
      <w:r>
        <w:rPr>
          <w:rFonts w:hint="eastAsia" w:ascii="仿宋" w:hAnsi="仿宋" w:eastAsia="仿宋" w:cs="仿宋"/>
          <w:b/>
          <w:color w:val="auto"/>
          <w:kern w:val="0"/>
          <w:sz w:val="24"/>
          <w:szCs w:val="24"/>
          <w:highlight w:val="none"/>
          <w:lang w:val="en-US" w:eastAsia="zh-CN" w:bidi="ar-SA"/>
        </w:rPr>
        <w:t>2.初步评审</w:t>
      </w:r>
      <w:bookmarkEnd w:id="39"/>
      <w:bookmarkEnd w:id="40"/>
      <w:bookmarkEnd w:id="41"/>
      <w:bookmarkEnd w:id="42"/>
      <w:bookmarkEnd w:id="43"/>
      <w:bookmarkEnd w:id="44"/>
      <w:bookmarkEnd w:id="45"/>
      <w:bookmarkEnd w:id="46"/>
      <w:bookmarkEnd w:id="48"/>
    </w:p>
    <w:p w14:paraId="5C7146C9">
      <w:pPr>
        <w:pStyle w:val="65"/>
        <w:keepNext w:val="0"/>
        <w:keepLines w:val="0"/>
        <w:pageBreakBefore w:val="0"/>
        <w:widowControl w:val="0"/>
        <w:tabs>
          <w:tab w:val="left" w:pos="1021"/>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形式</w:t>
      </w:r>
      <w:r>
        <w:rPr>
          <w:rFonts w:hint="eastAsia" w:ascii="仿宋" w:hAnsi="仿宋" w:eastAsia="仿宋" w:cs="仿宋"/>
          <w:color w:val="auto"/>
          <w:sz w:val="24"/>
          <w:szCs w:val="24"/>
          <w:highlight w:val="none"/>
          <w:lang w:val="en-US" w:eastAsia="zh-CN"/>
        </w:rPr>
        <w:t>、资格</w:t>
      </w:r>
      <w:r>
        <w:rPr>
          <w:rFonts w:hint="eastAsia" w:ascii="仿宋" w:hAnsi="仿宋" w:eastAsia="仿宋" w:cs="仿宋"/>
          <w:color w:val="auto"/>
          <w:sz w:val="24"/>
          <w:szCs w:val="24"/>
          <w:highlight w:val="none"/>
          <w:lang w:val="en-US"/>
        </w:rPr>
        <w:t>评审标准</w:t>
      </w:r>
      <w:r>
        <w:rPr>
          <w:rFonts w:hint="eastAsia" w:ascii="仿宋" w:hAnsi="仿宋" w:eastAsia="仿宋" w:cs="仿宋"/>
          <w:color w:val="auto"/>
          <w:sz w:val="24"/>
          <w:szCs w:val="24"/>
          <w:highlight w:val="none"/>
          <w:lang w:val="en-US" w:eastAsia="zh-CN"/>
        </w:rPr>
        <w:t>如下</w:t>
      </w:r>
      <w:r>
        <w:rPr>
          <w:rFonts w:hint="eastAsia" w:ascii="仿宋" w:hAnsi="仿宋" w:eastAsia="仿宋" w:cs="仿宋"/>
          <w:color w:val="auto"/>
          <w:sz w:val="24"/>
          <w:szCs w:val="24"/>
          <w:highlight w:val="none"/>
          <w:lang w:val="en-US"/>
        </w:rPr>
        <w:t>：</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31"/>
        <w:gridCol w:w="1965"/>
        <w:gridCol w:w="5101"/>
      </w:tblGrid>
      <w:tr w14:paraId="6CEF0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exact"/>
          <w:jc w:val="center"/>
        </w:trPr>
        <w:tc>
          <w:tcPr>
            <w:tcW w:w="1231" w:type="dxa"/>
            <w:shd w:val="clear" w:color="auto" w:fill="FFFFFF"/>
            <w:vAlign w:val="center"/>
          </w:tcPr>
          <w:p w14:paraId="038B4F38">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b/>
                <w:color w:val="auto"/>
                <w:sz w:val="24"/>
                <w:szCs w:val="24"/>
                <w:highlight w:val="none"/>
                <w:lang w:val="en-US"/>
              </w:rPr>
              <w:t>内容</w:t>
            </w:r>
          </w:p>
        </w:tc>
        <w:tc>
          <w:tcPr>
            <w:tcW w:w="1965" w:type="dxa"/>
            <w:shd w:val="clear" w:color="auto" w:fill="FFFFFF"/>
            <w:vAlign w:val="center"/>
          </w:tcPr>
          <w:p w14:paraId="136A0FF9">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b/>
                <w:color w:val="auto"/>
                <w:sz w:val="24"/>
                <w:szCs w:val="24"/>
                <w:highlight w:val="none"/>
              </w:rPr>
              <w:t>评审因素</w:t>
            </w:r>
          </w:p>
        </w:tc>
        <w:tc>
          <w:tcPr>
            <w:tcW w:w="5101" w:type="dxa"/>
            <w:shd w:val="clear" w:color="auto" w:fill="FFFFFF"/>
            <w:vAlign w:val="center"/>
          </w:tcPr>
          <w:p w14:paraId="2F0A2D9C">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b/>
                <w:color w:val="auto"/>
                <w:sz w:val="24"/>
                <w:szCs w:val="24"/>
                <w:highlight w:val="none"/>
              </w:rPr>
              <w:t>评审标准</w:t>
            </w:r>
          </w:p>
        </w:tc>
      </w:tr>
      <w:tr w14:paraId="3160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1231" w:type="dxa"/>
            <w:vMerge w:val="restart"/>
            <w:shd w:val="clear" w:color="auto" w:fill="FFFFFF"/>
            <w:vAlign w:val="center"/>
          </w:tcPr>
          <w:p w14:paraId="758FC061">
            <w:pPr>
              <w:pStyle w:val="63"/>
              <w:keepNext w:val="0"/>
              <w:keepLines w:val="0"/>
              <w:pageBreakBefore w:val="0"/>
              <w:widowControl w:val="0"/>
              <w:kinsoku/>
              <w:wordWrap/>
              <w:overflowPunct/>
              <w:topLinePunct w:val="0"/>
              <w:autoSpaceDE/>
              <w:autoSpaceDN/>
              <w:bidi w:val="0"/>
              <w:adjustRightInd/>
              <w:snapToGrid/>
              <w:spacing w:after="200"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rPr>
              <w:t>形式评审</w:t>
            </w:r>
          </w:p>
          <w:p w14:paraId="5778A7C0">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rPr>
              <w:t>标准</w:t>
            </w:r>
          </w:p>
        </w:tc>
        <w:tc>
          <w:tcPr>
            <w:tcW w:w="1965" w:type="dxa"/>
            <w:shd w:val="clear" w:color="auto" w:fill="FFFFFF"/>
            <w:vAlign w:val="center"/>
          </w:tcPr>
          <w:p w14:paraId="76AA770B">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lang w:val="en-US"/>
              </w:rPr>
              <w:t>供应商</w:t>
            </w:r>
            <w:r>
              <w:rPr>
                <w:rStyle w:val="62"/>
                <w:rFonts w:hint="eastAsia" w:ascii="仿宋" w:hAnsi="仿宋" w:eastAsia="仿宋" w:cs="仿宋"/>
                <w:color w:val="auto"/>
                <w:sz w:val="24"/>
                <w:szCs w:val="24"/>
                <w:highlight w:val="none"/>
              </w:rPr>
              <w:t>名称</w:t>
            </w:r>
          </w:p>
        </w:tc>
        <w:tc>
          <w:tcPr>
            <w:tcW w:w="5101" w:type="dxa"/>
            <w:shd w:val="clear" w:color="auto" w:fill="FFFFFF"/>
            <w:vAlign w:val="center"/>
          </w:tcPr>
          <w:p w14:paraId="548DBF0B">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rPr>
              <w:t>与营业执照一致</w:t>
            </w:r>
          </w:p>
        </w:tc>
      </w:tr>
      <w:tr w14:paraId="2F86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13" w:hRule="exact"/>
          <w:jc w:val="center"/>
        </w:trPr>
        <w:tc>
          <w:tcPr>
            <w:tcW w:w="1231" w:type="dxa"/>
            <w:vMerge w:val="continue"/>
            <w:shd w:val="clear" w:color="auto" w:fill="FFFFFF"/>
            <w:vAlign w:val="center"/>
          </w:tcPr>
          <w:p w14:paraId="33E7905F">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p>
        </w:tc>
        <w:tc>
          <w:tcPr>
            <w:tcW w:w="1965" w:type="dxa"/>
            <w:shd w:val="clear" w:color="auto" w:fill="FFFFFF"/>
            <w:vAlign w:val="center"/>
          </w:tcPr>
          <w:p w14:paraId="2D13B766">
            <w:pPr>
              <w:pStyle w:val="63"/>
              <w:keepNext w:val="0"/>
              <w:keepLines w:val="0"/>
              <w:pageBreakBefore w:val="0"/>
              <w:widowControl w:val="0"/>
              <w:kinsoku/>
              <w:wordWrap/>
              <w:overflowPunct/>
              <w:topLinePunct w:val="0"/>
              <w:autoSpaceDE/>
              <w:autoSpaceDN/>
              <w:bidi w:val="0"/>
              <w:adjustRightInd/>
              <w:snapToGrid/>
              <w:spacing w:after="180"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lang w:val="en-US"/>
              </w:rPr>
              <w:t>报价</w:t>
            </w:r>
            <w:r>
              <w:rPr>
                <w:rStyle w:val="62"/>
                <w:rFonts w:hint="eastAsia" w:ascii="仿宋" w:hAnsi="仿宋" w:eastAsia="仿宋" w:cs="仿宋"/>
                <w:color w:val="auto"/>
                <w:sz w:val="24"/>
                <w:szCs w:val="24"/>
                <w:highlight w:val="none"/>
              </w:rPr>
              <w:t>函</w:t>
            </w:r>
            <w:r>
              <w:rPr>
                <w:rStyle w:val="62"/>
                <w:rFonts w:hint="eastAsia" w:ascii="仿宋" w:hAnsi="仿宋" w:eastAsia="仿宋" w:cs="仿宋"/>
                <w:color w:val="auto"/>
                <w:sz w:val="24"/>
                <w:szCs w:val="24"/>
                <w:highlight w:val="none"/>
                <w:lang w:val="en-US"/>
              </w:rPr>
              <w:t>及附件清单</w:t>
            </w:r>
            <w:r>
              <w:rPr>
                <w:rStyle w:val="62"/>
                <w:rFonts w:hint="eastAsia" w:ascii="仿宋" w:hAnsi="仿宋" w:eastAsia="仿宋" w:cs="仿宋"/>
                <w:color w:val="auto"/>
                <w:sz w:val="24"/>
                <w:szCs w:val="24"/>
                <w:highlight w:val="none"/>
              </w:rPr>
              <w:t>签名盖章</w:t>
            </w:r>
          </w:p>
        </w:tc>
        <w:tc>
          <w:tcPr>
            <w:tcW w:w="5101" w:type="dxa"/>
            <w:shd w:val="clear" w:color="auto" w:fill="FFFFFF"/>
            <w:vAlign w:val="center"/>
          </w:tcPr>
          <w:p w14:paraId="709016C2">
            <w:pPr>
              <w:pStyle w:val="63"/>
              <w:keepNext w:val="0"/>
              <w:keepLines w:val="0"/>
              <w:pageBreakBefore w:val="0"/>
              <w:widowControl w:val="0"/>
              <w:kinsoku/>
              <w:wordWrap/>
              <w:overflowPunct/>
              <w:topLinePunct w:val="0"/>
              <w:autoSpaceDE/>
              <w:autoSpaceDN/>
              <w:bidi w:val="0"/>
              <w:adjustRightInd/>
              <w:snapToGrid/>
              <w:spacing w:line="440" w:lineRule="exact"/>
              <w:ind w:firstLine="0"/>
              <w:jc w:val="both"/>
              <w:textAlignment w:val="auto"/>
              <w:rPr>
                <w:rFonts w:hint="eastAsia" w:ascii="仿宋" w:hAnsi="仿宋" w:eastAsia="仿宋" w:cs="仿宋"/>
                <w:b w:val="0"/>
                <w:bCs w:val="0"/>
                <w:color w:val="auto"/>
                <w:sz w:val="24"/>
                <w:szCs w:val="24"/>
                <w:highlight w:val="none"/>
              </w:rPr>
            </w:pPr>
            <w:r>
              <w:rPr>
                <w:rStyle w:val="62"/>
                <w:rFonts w:hint="eastAsia" w:ascii="仿宋" w:hAnsi="仿宋" w:eastAsia="仿宋" w:cs="仿宋"/>
                <w:b w:val="0"/>
                <w:bCs w:val="0"/>
                <w:color w:val="auto"/>
                <w:sz w:val="24"/>
                <w:szCs w:val="24"/>
                <w:highlight w:val="none"/>
                <w:lang w:val="en-US"/>
              </w:rPr>
              <w:t>由法定代表人或其委托代理人签名或加盖单位公章。由法定代表人签名的，应附法定代表人身份证明，由代理人签名的，应附授权委托书，身份证明或授权委托书应符合第四章“响应文件格式”的规定</w:t>
            </w:r>
          </w:p>
        </w:tc>
      </w:tr>
      <w:tr w14:paraId="45464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exact"/>
          <w:jc w:val="center"/>
        </w:trPr>
        <w:tc>
          <w:tcPr>
            <w:tcW w:w="1231" w:type="dxa"/>
            <w:vMerge w:val="continue"/>
            <w:shd w:val="clear" w:color="auto" w:fill="FFFFFF"/>
            <w:vAlign w:val="center"/>
          </w:tcPr>
          <w:p w14:paraId="2ABFE7C7">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p>
        </w:tc>
        <w:tc>
          <w:tcPr>
            <w:tcW w:w="1965" w:type="dxa"/>
            <w:shd w:val="clear" w:color="auto" w:fill="FFFFFF"/>
            <w:vAlign w:val="center"/>
          </w:tcPr>
          <w:p w14:paraId="538A5B96">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lang w:val="en-US"/>
              </w:rPr>
              <w:t>响应</w:t>
            </w:r>
            <w:r>
              <w:rPr>
                <w:rStyle w:val="62"/>
                <w:rFonts w:hint="eastAsia" w:ascii="仿宋" w:hAnsi="仿宋" w:eastAsia="仿宋" w:cs="仿宋"/>
                <w:color w:val="auto"/>
                <w:sz w:val="24"/>
                <w:szCs w:val="24"/>
                <w:highlight w:val="none"/>
              </w:rPr>
              <w:t>文件格式</w:t>
            </w:r>
          </w:p>
        </w:tc>
        <w:tc>
          <w:tcPr>
            <w:tcW w:w="5101" w:type="dxa"/>
            <w:shd w:val="clear" w:color="auto" w:fill="FFFFFF"/>
            <w:vAlign w:val="center"/>
          </w:tcPr>
          <w:p w14:paraId="0C7E0E59">
            <w:pPr>
              <w:pStyle w:val="63"/>
              <w:keepNext w:val="0"/>
              <w:keepLines w:val="0"/>
              <w:pageBreakBefore w:val="0"/>
              <w:widowControl w:val="0"/>
              <w:kinsoku/>
              <w:wordWrap/>
              <w:overflowPunct/>
              <w:topLinePunct w:val="0"/>
              <w:autoSpaceDE/>
              <w:autoSpaceDN/>
              <w:bidi w:val="0"/>
              <w:adjustRightInd/>
              <w:snapToGrid/>
              <w:spacing w:line="440" w:lineRule="exact"/>
              <w:ind w:firstLine="0"/>
              <w:jc w:val="both"/>
              <w:textAlignment w:val="auto"/>
              <w:rPr>
                <w:rFonts w:hint="eastAsia" w:ascii="仿宋" w:hAnsi="仿宋" w:eastAsia="仿宋" w:cs="仿宋"/>
                <w:b w:val="0"/>
                <w:bCs w:val="0"/>
                <w:color w:val="auto"/>
                <w:sz w:val="24"/>
                <w:szCs w:val="24"/>
                <w:highlight w:val="none"/>
              </w:rPr>
            </w:pPr>
            <w:r>
              <w:rPr>
                <w:rStyle w:val="62"/>
                <w:rFonts w:hint="eastAsia" w:ascii="仿宋" w:hAnsi="仿宋" w:eastAsia="仿宋" w:cs="仿宋"/>
                <w:b w:val="0"/>
                <w:bCs w:val="0"/>
                <w:color w:val="auto"/>
                <w:sz w:val="24"/>
                <w:szCs w:val="24"/>
                <w:highlight w:val="none"/>
              </w:rPr>
              <w:t>符合第</w:t>
            </w:r>
            <w:r>
              <w:rPr>
                <w:rStyle w:val="62"/>
                <w:rFonts w:hint="eastAsia" w:ascii="仿宋" w:hAnsi="仿宋" w:eastAsia="仿宋" w:cs="仿宋"/>
                <w:b w:val="0"/>
                <w:bCs w:val="0"/>
                <w:color w:val="auto"/>
                <w:sz w:val="24"/>
                <w:szCs w:val="24"/>
                <w:highlight w:val="none"/>
                <w:lang w:val="en-US"/>
              </w:rPr>
              <w:t>四</w:t>
            </w:r>
            <w:r>
              <w:rPr>
                <w:rStyle w:val="62"/>
                <w:rFonts w:hint="eastAsia" w:ascii="仿宋" w:hAnsi="仿宋" w:eastAsia="仿宋" w:cs="仿宋"/>
                <w:b w:val="0"/>
                <w:bCs w:val="0"/>
                <w:color w:val="auto"/>
                <w:sz w:val="24"/>
                <w:szCs w:val="24"/>
                <w:highlight w:val="none"/>
              </w:rPr>
              <w:t>章“</w:t>
            </w:r>
            <w:r>
              <w:rPr>
                <w:rStyle w:val="62"/>
                <w:rFonts w:hint="eastAsia" w:ascii="仿宋" w:hAnsi="仿宋" w:eastAsia="仿宋" w:cs="仿宋"/>
                <w:b w:val="0"/>
                <w:bCs w:val="0"/>
                <w:color w:val="auto"/>
                <w:sz w:val="24"/>
                <w:szCs w:val="24"/>
                <w:highlight w:val="none"/>
                <w:lang w:val="en-US"/>
              </w:rPr>
              <w:t>响应</w:t>
            </w:r>
            <w:r>
              <w:rPr>
                <w:rStyle w:val="62"/>
                <w:rFonts w:hint="eastAsia" w:ascii="仿宋" w:hAnsi="仿宋" w:eastAsia="仿宋" w:cs="仿宋"/>
                <w:b w:val="0"/>
                <w:bCs w:val="0"/>
                <w:color w:val="auto"/>
                <w:sz w:val="24"/>
                <w:szCs w:val="24"/>
                <w:highlight w:val="none"/>
              </w:rPr>
              <w:t>文件格式”的规定</w:t>
            </w:r>
          </w:p>
        </w:tc>
      </w:tr>
      <w:tr w14:paraId="30FB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8" w:hRule="exact"/>
          <w:jc w:val="center"/>
        </w:trPr>
        <w:tc>
          <w:tcPr>
            <w:tcW w:w="1231" w:type="dxa"/>
            <w:vMerge w:val="restart"/>
            <w:shd w:val="clear" w:color="auto" w:fill="FFFFFF"/>
            <w:vAlign w:val="center"/>
          </w:tcPr>
          <w:p w14:paraId="233C1645">
            <w:pPr>
              <w:pStyle w:val="63"/>
              <w:keepNext w:val="0"/>
              <w:keepLines w:val="0"/>
              <w:pageBreakBefore w:val="0"/>
              <w:widowControl w:val="0"/>
              <w:kinsoku/>
              <w:wordWrap/>
              <w:overflowPunct/>
              <w:topLinePunct w:val="0"/>
              <w:autoSpaceDE/>
              <w:autoSpaceDN/>
              <w:bidi w:val="0"/>
              <w:adjustRightInd/>
              <w:snapToGrid/>
              <w:spacing w:after="200"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rPr>
              <w:t>资格评审</w:t>
            </w:r>
          </w:p>
          <w:p w14:paraId="166939D6">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rPr>
              <w:t>标准</w:t>
            </w:r>
          </w:p>
        </w:tc>
        <w:tc>
          <w:tcPr>
            <w:tcW w:w="1965" w:type="dxa"/>
            <w:shd w:val="clear" w:color="auto" w:fill="FFFFFF"/>
            <w:vAlign w:val="center"/>
          </w:tcPr>
          <w:p w14:paraId="382F3231">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rPr>
              <w:t>营业执照</w:t>
            </w:r>
          </w:p>
        </w:tc>
        <w:tc>
          <w:tcPr>
            <w:tcW w:w="5101" w:type="dxa"/>
            <w:shd w:val="clear" w:color="auto" w:fill="FFFFFF"/>
            <w:vAlign w:val="center"/>
          </w:tcPr>
          <w:p w14:paraId="401F7B0E">
            <w:pPr>
              <w:pStyle w:val="63"/>
              <w:keepNext w:val="0"/>
              <w:keepLines w:val="0"/>
              <w:pageBreakBefore w:val="0"/>
              <w:widowControl w:val="0"/>
              <w:kinsoku/>
              <w:wordWrap/>
              <w:overflowPunct/>
              <w:topLinePunct w:val="0"/>
              <w:autoSpaceDE/>
              <w:autoSpaceDN/>
              <w:bidi w:val="0"/>
              <w:adjustRightInd/>
              <w:snapToGrid/>
              <w:spacing w:line="440" w:lineRule="exact"/>
              <w:ind w:firstLine="0"/>
              <w:jc w:val="both"/>
              <w:textAlignment w:val="auto"/>
              <w:rPr>
                <w:rFonts w:hint="eastAsia" w:ascii="仿宋" w:hAnsi="仿宋" w:eastAsia="仿宋" w:cs="仿宋"/>
                <w:b w:val="0"/>
                <w:bCs w:val="0"/>
                <w:color w:val="auto"/>
                <w:sz w:val="24"/>
                <w:szCs w:val="24"/>
                <w:highlight w:val="none"/>
              </w:rPr>
            </w:pPr>
            <w:r>
              <w:rPr>
                <w:rStyle w:val="62"/>
                <w:rFonts w:hint="eastAsia" w:ascii="仿宋" w:hAnsi="仿宋" w:eastAsia="仿宋" w:cs="仿宋"/>
                <w:b w:val="0"/>
                <w:bCs w:val="0"/>
                <w:color w:val="auto"/>
                <w:sz w:val="24"/>
                <w:szCs w:val="24"/>
                <w:highlight w:val="none"/>
              </w:rPr>
              <w:t>符合第二章“供应商须知”第3条“本项目资格要求”第（1）项规定，具备有效的营业执照</w:t>
            </w:r>
          </w:p>
        </w:tc>
      </w:tr>
      <w:tr w14:paraId="42179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1" w:hRule="exact"/>
          <w:jc w:val="center"/>
        </w:trPr>
        <w:tc>
          <w:tcPr>
            <w:tcW w:w="1231" w:type="dxa"/>
            <w:vMerge w:val="continue"/>
            <w:shd w:val="clear" w:color="auto" w:fill="FFFFFF"/>
            <w:vAlign w:val="center"/>
          </w:tcPr>
          <w:p w14:paraId="706FB516">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p>
        </w:tc>
        <w:tc>
          <w:tcPr>
            <w:tcW w:w="1965" w:type="dxa"/>
            <w:shd w:val="clear" w:color="auto" w:fill="FFFFFF"/>
            <w:vAlign w:val="center"/>
          </w:tcPr>
          <w:p w14:paraId="10CDAFDF">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rPr>
              <w:t>财务要求</w:t>
            </w:r>
          </w:p>
        </w:tc>
        <w:tc>
          <w:tcPr>
            <w:tcW w:w="5101" w:type="dxa"/>
            <w:shd w:val="clear" w:color="auto" w:fill="FFFFFF"/>
            <w:vAlign w:val="center"/>
          </w:tcPr>
          <w:p w14:paraId="4FBF26E9">
            <w:pPr>
              <w:pStyle w:val="63"/>
              <w:keepNext w:val="0"/>
              <w:keepLines w:val="0"/>
              <w:pageBreakBefore w:val="0"/>
              <w:widowControl w:val="0"/>
              <w:kinsoku/>
              <w:wordWrap/>
              <w:overflowPunct/>
              <w:topLinePunct w:val="0"/>
              <w:autoSpaceDE/>
              <w:autoSpaceDN/>
              <w:bidi w:val="0"/>
              <w:adjustRightInd/>
              <w:snapToGrid/>
              <w:spacing w:line="440" w:lineRule="exact"/>
              <w:ind w:firstLine="0"/>
              <w:jc w:val="both"/>
              <w:textAlignment w:val="auto"/>
              <w:rPr>
                <w:rFonts w:hint="eastAsia" w:ascii="仿宋" w:hAnsi="仿宋" w:eastAsia="仿宋" w:cs="仿宋"/>
                <w:b w:val="0"/>
                <w:bCs w:val="0"/>
                <w:color w:val="auto"/>
                <w:sz w:val="24"/>
                <w:szCs w:val="24"/>
                <w:highlight w:val="none"/>
              </w:rPr>
            </w:pPr>
            <w:r>
              <w:rPr>
                <w:rStyle w:val="62"/>
                <w:rFonts w:hint="eastAsia" w:ascii="仿宋" w:hAnsi="仿宋" w:eastAsia="仿宋" w:cs="仿宋"/>
                <w:b w:val="0"/>
                <w:bCs w:val="0"/>
                <w:color w:val="auto"/>
                <w:sz w:val="24"/>
                <w:szCs w:val="24"/>
                <w:highlight w:val="none"/>
              </w:rPr>
              <w:t>符合第二章“供应商须知”第3条“本项目资格要求”第（2）项规定</w:t>
            </w:r>
          </w:p>
        </w:tc>
      </w:tr>
      <w:tr w14:paraId="05A0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exact"/>
          <w:jc w:val="center"/>
        </w:trPr>
        <w:tc>
          <w:tcPr>
            <w:tcW w:w="1231" w:type="dxa"/>
            <w:vMerge w:val="continue"/>
            <w:shd w:val="clear" w:color="auto" w:fill="FFFFFF"/>
            <w:vAlign w:val="center"/>
          </w:tcPr>
          <w:p w14:paraId="40E4EB3F">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p>
        </w:tc>
        <w:tc>
          <w:tcPr>
            <w:tcW w:w="1965" w:type="dxa"/>
            <w:shd w:val="clear" w:color="auto" w:fill="FFFFFF"/>
            <w:vAlign w:val="center"/>
          </w:tcPr>
          <w:p w14:paraId="70CAF57D">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rPr>
              <w:t>业绩要求</w:t>
            </w:r>
          </w:p>
        </w:tc>
        <w:tc>
          <w:tcPr>
            <w:tcW w:w="5101" w:type="dxa"/>
            <w:shd w:val="clear" w:color="auto" w:fill="FFFFFF"/>
            <w:vAlign w:val="center"/>
          </w:tcPr>
          <w:p w14:paraId="61DB19C2">
            <w:pPr>
              <w:pStyle w:val="63"/>
              <w:keepNext w:val="0"/>
              <w:keepLines w:val="0"/>
              <w:pageBreakBefore w:val="0"/>
              <w:widowControl w:val="0"/>
              <w:kinsoku/>
              <w:wordWrap/>
              <w:overflowPunct/>
              <w:topLinePunct w:val="0"/>
              <w:autoSpaceDE/>
              <w:autoSpaceDN/>
              <w:bidi w:val="0"/>
              <w:adjustRightInd/>
              <w:snapToGrid/>
              <w:spacing w:line="440" w:lineRule="exact"/>
              <w:ind w:firstLine="0"/>
              <w:jc w:val="both"/>
              <w:textAlignment w:val="auto"/>
              <w:rPr>
                <w:rFonts w:hint="eastAsia" w:ascii="仿宋" w:hAnsi="仿宋" w:eastAsia="仿宋" w:cs="仿宋"/>
                <w:b w:val="0"/>
                <w:bCs w:val="0"/>
                <w:color w:val="auto"/>
                <w:sz w:val="24"/>
                <w:szCs w:val="24"/>
                <w:highlight w:val="none"/>
              </w:rPr>
            </w:pPr>
            <w:r>
              <w:rPr>
                <w:rStyle w:val="62"/>
                <w:rFonts w:hint="eastAsia" w:ascii="仿宋" w:hAnsi="仿宋" w:eastAsia="仿宋" w:cs="仿宋"/>
                <w:b w:val="0"/>
                <w:bCs w:val="0"/>
                <w:color w:val="auto"/>
                <w:sz w:val="24"/>
                <w:szCs w:val="24"/>
                <w:highlight w:val="none"/>
              </w:rPr>
              <w:t>符合第二章“供应商须知”第3条“本项目资格要求”第（6）项规定</w:t>
            </w:r>
          </w:p>
        </w:tc>
      </w:tr>
      <w:tr w14:paraId="690C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1" w:hRule="exact"/>
          <w:jc w:val="center"/>
        </w:trPr>
        <w:tc>
          <w:tcPr>
            <w:tcW w:w="1231" w:type="dxa"/>
            <w:vMerge w:val="continue"/>
            <w:shd w:val="clear" w:color="auto" w:fill="FFFFFF"/>
            <w:vAlign w:val="center"/>
          </w:tcPr>
          <w:p w14:paraId="0FF2C9A2">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p>
        </w:tc>
        <w:tc>
          <w:tcPr>
            <w:tcW w:w="1965" w:type="dxa"/>
            <w:shd w:val="clear" w:color="auto" w:fill="FFFFFF"/>
            <w:vAlign w:val="center"/>
          </w:tcPr>
          <w:p w14:paraId="644AF528">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rPr>
              <w:t>信誉要求</w:t>
            </w:r>
          </w:p>
        </w:tc>
        <w:tc>
          <w:tcPr>
            <w:tcW w:w="5101" w:type="dxa"/>
            <w:shd w:val="clear" w:color="auto" w:fill="FFFFFF"/>
            <w:vAlign w:val="center"/>
          </w:tcPr>
          <w:p w14:paraId="012C85B2">
            <w:pPr>
              <w:pStyle w:val="63"/>
              <w:keepNext w:val="0"/>
              <w:keepLines w:val="0"/>
              <w:pageBreakBefore w:val="0"/>
              <w:widowControl w:val="0"/>
              <w:kinsoku/>
              <w:wordWrap/>
              <w:overflowPunct/>
              <w:topLinePunct w:val="0"/>
              <w:autoSpaceDE/>
              <w:autoSpaceDN/>
              <w:bidi w:val="0"/>
              <w:adjustRightInd/>
              <w:snapToGrid/>
              <w:spacing w:line="440" w:lineRule="exact"/>
              <w:ind w:firstLine="0"/>
              <w:jc w:val="both"/>
              <w:textAlignment w:val="auto"/>
              <w:rPr>
                <w:rFonts w:hint="eastAsia" w:ascii="仿宋" w:hAnsi="仿宋" w:eastAsia="仿宋" w:cs="仿宋"/>
                <w:b w:val="0"/>
                <w:bCs w:val="0"/>
                <w:color w:val="auto"/>
                <w:sz w:val="24"/>
                <w:szCs w:val="24"/>
                <w:highlight w:val="none"/>
              </w:rPr>
            </w:pPr>
            <w:r>
              <w:rPr>
                <w:rStyle w:val="62"/>
                <w:rFonts w:hint="eastAsia" w:ascii="仿宋" w:hAnsi="仿宋" w:eastAsia="仿宋" w:cs="仿宋"/>
                <w:b w:val="0"/>
                <w:bCs w:val="0"/>
                <w:color w:val="auto"/>
                <w:sz w:val="24"/>
                <w:szCs w:val="24"/>
                <w:highlight w:val="none"/>
              </w:rPr>
              <w:t>符合第二章“供应商须知”第3条“本项目资格要求”第（5）项规定</w:t>
            </w:r>
          </w:p>
        </w:tc>
      </w:tr>
      <w:tr w14:paraId="4CF4C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2" w:hRule="exact"/>
          <w:jc w:val="center"/>
        </w:trPr>
        <w:tc>
          <w:tcPr>
            <w:tcW w:w="1231" w:type="dxa"/>
            <w:vMerge w:val="continue"/>
            <w:shd w:val="clear" w:color="auto" w:fill="FFFFFF"/>
            <w:vAlign w:val="center"/>
          </w:tcPr>
          <w:p w14:paraId="4625B61A">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p>
        </w:tc>
        <w:tc>
          <w:tcPr>
            <w:tcW w:w="1965" w:type="dxa"/>
            <w:shd w:val="clear" w:color="auto" w:fill="FFFFFF"/>
            <w:vAlign w:val="center"/>
          </w:tcPr>
          <w:p w14:paraId="27413445">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rPr>
              <w:t>其他要求</w:t>
            </w:r>
          </w:p>
        </w:tc>
        <w:tc>
          <w:tcPr>
            <w:tcW w:w="5101" w:type="dxa"/>
            <w:shd w:val="clear" w:color="auto" w:fill="FFFFFF"/>
            <w:vAlign w:val="center"/>
          </w:tcPr>
          <w:p w14:paraId="2DBD3C2F">
            <w:pPr>
              <w:pStyle w:val="63"/>
              <w:keepNext w:val="0"/>
              <w:keepLines w:val="0"/>
              <w:pageBreakBefore w:val="0"/>
              <w:widowControl w:val="0"/>
              <w:kinsoku/>
              <w:wordWrap/>
              <w:overflowPunct/>
              <w:topLinePunct w:val="0"/>
              <w:autoSpaceDE/>
              <w:autoSpaceDN/>
              <w:bidi w:val="0"/>
              <w:adjustRightInd/>
              <w:snapToGrid/>
              <w:spacing w:line="440" w:lineRule="exact"/>
              <w:ind w:firstLine="0"/>
              <w:jc w:val="both"/>
              <w:textAlignment w:val="auto"/>
              <w:rPr>
                <w:rFonts w:hint="eastAsia" w:ascii="仿宋" w:hAnsi="仿宋" w:eastAsia="仿宋" w:cs="仿宋"/>
                <w:b w:val="0"/>
                <w:bCs w:val="0"/>
                <w:color w:val="auto"/>
                <w:sz w:val="24"/>
                <w:szCs w:val="24"/>
                <w:highlight w:val="none"/>
              </w:rPr>
            </w:pPr>
            <w:r>
              <w:rPr>
                <w:rStyle w:val="62"/>
                <w:rFonts w:hint="eastAsia" w:ascii="仿宋" w:hAnsi="仿宋" w:eastAsia="仿宋" w:cs="仿宋"/>
                <w:b w:val="0"/>
                <w:bCs w:val="0"/>
                <w:color w:val="auto"/>
                <w:sz w:val="24"/>
                <w:szCs w:val="24"/>
                <w:highlight w:val="none"/>
              </w:rPr>
              <w:t>符合第二章“供应商须知”第3条“其他要求”第（1）（2）（3）项规定</w:t>
            </w:r>
          </w:p>
        </w:tc>
      </w:tr>
      <w:tr w14:paraId="31DF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8" w:hRule="exact"/>
          <w:jc w:val="center"/>
        </w:trPr>
        <w:tc>
          <w:tcPr>
            <w:tcW w:w="1231" w:type="dxa"/>
            <w:vMerge w:val="continue"/>
            <w:shd w:val="clear" w:color="auto" w:fill="FFFFFF"/>
            <w:vAlign w:val="center"/>
          </w:tcPr>
          <w:p w14:paraId="54510A29">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p>
        </w:tc>
        <w:tc>
          <w:tcPr>
            <w:tcW w:w="1965" w:type="dxa"/>
            <w:shd w:val="clear" w:color="auto" w:fill="FFFFFF"/>
            <w:vAlign w:val="center"/>
          </w:tcPr>
          <w:p w14:paraId="0393AFEA">
            <w:pPr>
              <w:pStyle w:val="63"/>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rPr>
              <w:t>不存在</w:t>
            </w:r>
            <w:r>
              <w:rPr>
                <w:rStyle w:val="62"/>
                <w:rFonts w:hint="eastAsia" w:ascii="仿宋" w:hAnsi="仿宋" w:eastAsia="仿宋" w:cs="仿宋"/>
                <w:color w:val="auto"/>
                <w:sz w:val="24"/>
                <w:szCs w:val="24"/>
                <w:highlight w:val="none"/>
                <w:lang w:val="en-US"/>
              </w:rPr>
              <w:t>供应商不得存在</w:t>
            </w:r>
            <w:r>
              <w:rPr>
                <w:rStyle w:val="62"/>
                <w:rFonts w:hint="eastAsia" w:ascii="仿宋" w:hAnsi="仿宋" w:eastAsia="仿宋" w:cs="仿宋"/>
                <w:color w:val="auto"/>
                <w:sz w:val="24"/>
                <w:szCs w:val="24"/>
                <w:highlight w:val="none"/>
              </w:rPr>
              <w:t>的情形</w:t>
            </w:r>
          </w:p>
        </w:tc>
        <w:tc>
          <w:tcPr>
            <w:tcW w:w="5101" w:type="dxa"/>
            <w:shd w:val="clear" w:color="auto" w:fill="FFFFFF"/>
            <w:vAlign w:val="center"/>
          </w:tcPr>
          <w:p w14:paraId="27463B92">
            <w:pPr>
              <w:pStyle w:val="63"/>
              <w:keepNext w:val="0"/>
              <w:keepLines w:val="0"/>
              <w:pageBreakBefore w:val="0"/>
              <w:widowControl w:val="0"/>
              <w:kinsoku/>
              <w:wordWrap/>
              <w:overflowPunct/>
              <w:topLinePunct w:val="0"/>
              <w:autoSpaceDE/>
              <w:autoSpaceDN/>
              <w:bidi w:val="0"/>
              <w:adjustRightInd/>
              <w:snapToGrid/>
              <w:spacing w:line="440" w:lineRule="exact"/>
              <w:ind w:firstLine="0"/>
              <w:jc w:val="both"/>
              <w:textAlignment w:val="auto"/>
              <w:rPr>
                <w:rFonts w:hint="eastAsia" w:ascii="仿宋" w:hAnsi="仿宋" w:eastAsia="仿宋" w:cs="仿宋"/>
                <w:color w:val="auto"/>
                <w:sz w:val="24"/>
                <w:szCs w:val="24"/>
                <w:highlight w:val="none"/>
              </w:rPr>
            </w:pPr>
            <w:r>
              <w:rPr>
                <w:rStyle w:val="62"/>
                <w:rFonts w:hint="eastAsia" w:ascii="仿宋" w:hAnsi="仿宋" w:eastAsia="仿宋" w:cs="仿宋"/>
                <w:color w:val="auto"/>
                <w:sz w:val="24"/>
                <w:szCs w:val="24"/>
                <w:highlight w:val="none"/>
              </w:rPr>
              <w:t>不存在第二章“</w:t>
            </w:r>
            <w:r>
              <w:rPr>
                <w:rStyle w:val="62"/>
                <w:rFonts w:hint="eastAsia" w:ascii="仿宋" w:hAnsi="仿宋" w:eastAsia="仿宋" w:cs="仿宋"/>
                <w:color w:val="auto"/>
                <w:sz w:val="24"/>
                <w:szCs w:val="24"/>
                <w:highlight w:val="none"/>
                <w:lang w:val="en-US"/>
              </w:rPr>
              <w:t>供应商</w:t>
            </w:r>
            <w:r>
              <w:rPr>
                <w:rStyle w:val="62"/>
                <w:rFonts w:hint="eastAsia" w:ascii="仿宋" w:hAnsi="仿宋" w:eastAsia="仿宋" w:cs="仿宋"/>
                <w:color w:val="auto"/>
                <w:sz w:val="24"/>
                <w:szCs w:val="24"/>
                <w:highlight w:val="none"/>
              </w:rPr>
              <w:t>须知”第</w:t>
            </w:r>
            <w:r>
              <w:rPr>
                <w:rStyle w:val="62"/>
                <w:rFonts w:hint="eastAsia" w:ascii="仿宋" w:hAnsi="仿宋" w:eastAsia="仿宋" w:cs="仿宋"/>
                <w:color w:val="auto"/>
                <w:sz w:val="24"/>
                <w:szCs w:val="24"/>
                <w:highlight w:val="none"/>
                <w:lang w:val="en-US"/>
              </w:rPr>
              <w:t>4</w:t>
            </w:r>
            <w:r>
              <w:rPr>
                <w:rStyle w:val="62"/>
                <w:rFonts w:hint="eastAsia" w:ascii="仿宋" w:hAnsi="仿宋" w:eastAsia="仿宋" w:cs="仿宋"/>
                <w:color w:val="auto"/>
                <w:sz w:val="24"/>
                <w:szCs w:val="24"/>
                <w:highlight w:val="none"/>
              </w:rPr>
              <w:t>项规定的任何一种情形</w:t>
            </w:r>
          </w:p>
        </w:tc>
      </w:tr>
    </w:tbl>
    <w:p w14:paraId="2A15B1DB">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49" w:name="_Toc13086"/>
      <w:bookmarkStart w:id="50" w:name="_Toc9411"/>
      <w:r>
        <w:rPr>
          <w:rFonts w:hint="eastAsia" w:ascii="仿宋" w:hAnsi="仿宋" w:eastAsia="仿宋" w:cs="仿宋"/>
          <w:b/>
          <w:color w:val="auto"/>
          <w:kern w:val="0"/>
          <w:sz w:val="24"/>
          <w:szCs w:val="24"/>
          <w:highlight w:val="none"/>
          <w:lang w:val="en-US" w:eastAsia="zh-CN" w:bidi="ar-SA"/>
        </w:rPr>
        <w:t>3.价格评审</w:t>
      </w:r>
      <w:bookmarkEnd w:id="49"/>
    </w:p>
    <w:p w14:paraId="7DC9F0F8">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对评审后的有效报价下浮率由高到低进行排名，</w:t>
      </w:r>
      <w:r>
        <w:rPr>
          <w:rFonts w:hint="eastAsia" w:ascii="仿宋" w:hAnsi="仿宋" w:eastAsia="仿宋" w:cs="仿宋"/>
          <w:b/>
          <w:bCs w:val="0"/>
          <w:color w:val="auto"/>
          <w:kern w:val="2"/>
          <w:sz w:val="24"/>
          <w:szCs w:val="24"/>
          <w:highlight w:val="none"/>
          <w:lang w:val="en-US" w:eastAsia="zh-CN" w:bidi="ar-SA"/>
        </w:rPr>
        <w:t>对响应单位报价下浮率明显高于其他响应人及项目合理区间的情况，评审委员会有权要求响应人现场30分钟内提供佐证资料证实供应成本，并根据评判作出废标处理。</w:t>
      </w:r>
    </w:p>
    <w:p w14:paraId="5E450E0D">
      <w:pPr>
        <w:pStyle w:val="7"/>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次采购无论供应商为小规模纳税人或一般纳税人，均须提供足额税率增值税专用发票，免税农产品可提供免税发票，小规模纳税人供应免税范围外【初级农产品】需提供3%征收率专票，按发票不含税金额×9%计算抵扣进项。其余产品则在不含税采购价基础上，付款时扣除因进项不足导致采购人的税负损失，计算方式为：扣除金额=不含税采购价×（一般纳税人税率-小规模纳税人税率）×（1+采购人附加税率），请各小规模纳税人综合考虑后进行响应下浮报价。</w:t>
      </w:r>
    </w:p>
    <w:p w14:paraId="3429A27C">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r>
        <w:rPr>
          <w:rFonts w:hint="eastAsia" w:ascii="仿宋" w:hAnsi="仿宋" w:eastAsia="仿宋" w:cs="仿宋"/>
          <w:b/>
          <w:color w:val="auto"/>
          <w:kern w:val="0"/>
          <w:sz w:val="24"/>
          <w:szCs w:val="24"/>
          <w:highlight w:val="none"/>
          <w:lang w:val="en-US" w:eastAsia="zh-CN" w:bidi="ar-SA"/>
        </w:rPr>
        <w:t>4.评审结果</w:t>
      </w:r>
    </w:p>
    <w:p w14:paraId="3F79BF39">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评审</w:t>
      </w:r>
      <w:r>
        <w:rPr>
          <w:rFonts w:hint="eastAsia" w:ascii="仿宋" w:hAnsi="仿宋" w:eastAsia="仿宋" w:cs="仿宋"/>
          <w:color w:val="auto"/>
          <w:sz w:val="24"/>
          <w:szCs w:val="24"/>
          <w:highlight w:val="none"/>
          <w:lang w:val="en-US"/>
        </w:rPr>
        <w:t>委员完成</w:t>
      </w:r>
      <w:r>
        <w:rPr>
          <w:rFonts w:hint="eastAsia" w:ascii="仿宋" w:hAnsi="仿宋" w:eastAsia="仿宋" w:cs="仿宋"/>
          <w:color w:val="auto"/>
          <w:sz w:val="24"/>
          <w:szCs w:val="24"/>
          <w:highlight w:val="none"/>
          <w:lang w:val="en-US" w:eastAsia="zh-CN"/>
        </w:rPr>
        <w:t>初步评审、价格评审</w:t>
      </w:r>
      <w:r>
        <w:rPr>
          <w:rFonts w:hint="eastAsia" w:ascii="仿宋" w:hAnsi="仿宋" w:eastAsia="仿宋" w:cs="仿宋"/>
          <w:color w:val="auto"/>
          <w:sz w:val="24"/>
          <w:szCs w:val="24"/>
          <w:highlight w:val="none"/>
          <w:lang w:val="en-US"/>
        </w:rPr>
        <w:t>后，向</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lang w:val="en-US"/>
        </w:rPr>
        <w:t>人提交书面</w:t>
      </w:r>
      <w:r>
        <w:rPr>
          <w:rFonts w:hint="eastAsia" w:ascii="仿宋" w:hAnsi="仿宋" w:eastAsia="仿宋" w:cs="仿宋"/>
          <w:color w:val="auto"/>
          <w:sz w:val="24"/>
          <w:szCs w:val="24"/>
          <w:highlight w:val="none"/>
          <w:lang w:val="en-US" w:eastAsia="zh-CN"/>
        </w:rPr>
        <w:t>评审</w:t>
      </w:r>
      <w:r>
        <w:rPr>
          <w:rFonts w:hint="eastAsia" w:ascii="仿宋" w:hAnsi="仿宋" w:eastAsia="仿宋" w:cs="仿宋"/>
          <w:color w:val="auto"/>
          <w:sz w:val="24"/>
          <w:szCs w:val="24"/>
          <w:highlight w:val="none"/>
          <w:lang w:val="en-US"/>
        </w:rPr>
        <w:t>报告和入围框架协议供应商</w:t>
      </w:r>
      <w:r>
        <w:rPr>
          <w:rFonts w:hint="eastAsia" w:ascii="仿宋" w:hAnsi="仿宋" w:eastAsia="仿宋" w:cs="仿宋"/>
          <w:color w:val="auto"/>
          <w:sz w:val="24"/>
          <w:szCs w:val="24"/>
          <w:highlight w:val="none"/>
          <w:lang w:val="en-US" w:eastAsia="zh-CN"/>
        </w:rPr>
        <w:t>名单</w:t>
      </w:r>
      <w:r>
        <w:rPr>
          <w:rFonts w:hint="eastAsia" w:ascii="仿宋" w:hAnsi="仿宋" w:eastAsia="仿宋" w:cs="仿宋"/>
          <w:color w:val="auto"/>
          <w:sz w:val="24"/>
          <w:szCs w:val="24"/>
          <w:highlight w:val="none"/>
          <w:lang w:val="en-US"/>
        </w:rPr>
        <w:t>。</w:t>
      </w:r>
    </w:p>
    <w:bookmarkEnd w:id="50"/>
    <w:p w14:paraId="5788F425">
      <w:pPr>
        <w:pStyle w:val="7"/>
        <w:keepNext w:val="0"/>
        <w:keepLines w:val="0"/>
        <w:pageBreakBefore w:val="0"/>
        <w:widowControl w:val="0"/>
        <w:kinsoku/>
        <w:wordWrap/>
        <w:overflowPunct/>
        <w:topLinePunct w:val="0"/>
        <w:autoSpaceDE/>
        <w:autoSpaceDN/>
        <w:bidi w:val="0"/>
        <w:adjustRightInd/>
        <w:snapToGrid/>
        <w:spacing w:before="100" w:after="100" w:line="500" w:lineRule="exact"/>
        <w:jc w:val="both"/>
        <w:textAlignment w:val="auto"/>
        <w:outlineLvl w:val="1"/>
        <w:rPr>
          <w:rFonts w:hint="eastAsia" w:ascii="仿宋" w:hAnsi="仿宋" w:eastAsia="仿宋" w:cs="仿宋"/>
          <w:b/>
          <w:color w:val="auto"/>
          <w:kern w:val="0"/>
          <w:sz w:val="24"/>
          <w:szCs w:val="24"/>
          <w:highlight w:val="none"/>
          <w:lang w:val="en-US" w:eastAsia="zh-CN" w:bidi="ar-SA"/>
        </w:rPr>
      </w:pPr>
      <w:bookmarkStart w:id="51" w:name="_Toc22108"/>
      <w:bookmarkEnd w:id="51"/>
      <w:r>
        <w:rPr>
          <w:rFonts w:hint="eastAsia" w:ascii="仿宋" w:hAnsi="仿宋" w:eastAsia="仿宋" w:cs="仿宋"/>
          <w:b/>
          <w:color w:val="auto"/>
          <w:kern w:val="0"/>
          <w:sz w:val="24"/>
          <w:szCs w:val="24"/>
          <w:highlight w:val="none"/>
          <w:lang w:val="en-US" w:eastAsia="zh-CN" w:bidi="ar-SA"/>
        </w:rPr>
        <w:t>5.框架协议签订与正式合同签约</w:t>
      </w:r>
    </w:p>
    <w:p w14:paraId="123B642D">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5.1框架协议签订</w:t>
      </w:r>
    </w:p>
    <w:p w14:paraId="045C7DA4">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入围供应商应按其有效报价下浮率，与采购人签订框架协议，明确双方合作框架及价格基准。</w:t>
      </w:r>
    </w:p>
    <w:p w14:paraId="5086F1CF">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5.2正式采购合同签约</w:t>
      </w:r>
    </w:p>
    <w:p w14:paraId="1C7489CD">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采购人从入围供应商中，按照有效报价下浮率由高至低的顺序，确定排名第一的供应商为签约供应商，并与其签订正式采购合同。若排序考前供应商出现下列情形之一，采购人可按评审排名顺序依次与后续供应商签约：</w:t>
      </w:r>
    </w:p>
    <w:p w14:paraId="590FE58F">
      <w:pPr>
        <w:pStyle w:val="6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kern w:val="2"/>
          <w:sz w:val="24"/>
          <w:szCs w:val="24"/>
          <w:highlight w:val="none"/>
          <w:lang w:val="en-US" w:eastAsia="zh-CN" w:bidi="ar-SA"/>
        </w:rPr>
        <w:t>（1）</w:t>
      </w:r>
      <w:r>
        <w:rPr>
          <w:rStyle w:val="62"/>
          <w:rFonts w:hint="eastAsia" w:ascii="仿宋" w:hAnsi="仿宋" w:eastAsia="仿宋" w:cs="仿宋"/>
          <w:b w:val="0"/>
          <w:bCs w:val="0"/>
          <w:color w:val="auto"/>
          <w:sz w:val="24"/>
          <w:szCs w:val="24"/>
          <w:highlight w:val="none"/>
          <w:lang w:val="en-US" w:eastAsia="zh-CN"/>
        </w:rPr>
        <w:t>放弃签约的；</w:t>
      </w:r>
    </w:p>
    <w:p w14:paraId="6486F166">
      <w:pPr>
        <w:pStyle w:val="6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kern w:val="2"/>
          <w:sz w:val="24"/>
          <w:szCs w:val="24"/>
          <w:highlight w:val="none"/>
          <w:lang w:val="en-US" w:eastAsia="zh-CN" w:bidi="ar-SA"/>
        </w:rPr>
        <w:t>（2）</w:t>
      </w:r>
      <w:r>
        <w:rPr>
          <w:rStyle w:val="62"/>
          <w:rFonts w:hint="eastAsia" w:ascii="仿宋" w:hAnsi="仿宋" w:eastAsia="仿宋" w:cs="仿宋"/>
          <w:b w:val="0"/>
          <w:bCs w:val="0"/>
          <w:color w:val="auto"/>
          <w:sz w:val="24"/>
          <w:szCs w:val="24"/>
          <w:highlight w:val="none"/>
          <w:lang w:val="en-US" w:eastAsia="zh-CN"/>
        </w:rPr>
        <w:t>因不可抗力不能履行合同的；</w:t>
      </w:r>
    </w:p>
    <w:p w14:paraId="76976483">
      <w:pPr>
        <w:pStyle w:val="6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（3）未能在规定期限内提交履约保证金的；</w:t>
      </w:r>
    </w:p>
    <w:p w14:paraId="39013259">
      <w:pPr>
        <w:pStyle w:val="63"/>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default"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（4）供应商履约过程因考核被取消供应资格的。</w:t>
      </w:r>
    </w:p>
    <w:p w14:paraId="61051DFE">
      <w:pPr>
        <w:pStyle w:val="63"/>
        <w:keepNext w:val="0"/>
        <w:keepLines w:val="0"/>
        <w:pageBreakBefore w:val="0"/>
        <w:widowControl w:val="0"/>
        <w:shd w:val="clear" w:color="auto" w:fill="FFFFFF"/>
        <w:kinsoku/>
        <w:wordWrap/>
        <w:overflowPunct/>
        <w:topLinePunct w:val="0"/>
        <w:autoSpaceDE/>
        <w:autoSpaceDN/>
        <w:bidi w:val="0"/>
        <w:adjustRightInd/>
        <w:snapToGrid/>
        <w:spacing w:line="500" w:lineRule="exact"/>
        <w:ind w:firstLine="480" w:firstLineChars="200"/>
        <w:jc w:val="left"/>
        <w:textAlignment w:val="auto"/>
        <w:rPr>
          <w:rStyle w:val="62"/>
          <w:rFonts w:hint="eastAsia" w:ascii="仿宋" w:hAnsi="仿宋" w:eastAsia="仿宋" w:cs="仿宋"/>
          <w:b w:val="0"/>
          <w:bCs w:val="0"/>
          <w:color w:val="auto"/>
          <w:sz w:val="24"/>
          <w:szCs w:val="24"/>
          <w:highlight w:val="none"/>
          <w:lang w:val="en-US" w:eastAsia="zh-CN"/>
        </w:rPr>
      </w:pPr>
      <w:r>
        <w:rPr>
          <w:rStyle w:val="62"/>
          <w:rFonts w:hint="eastAsia" w:ascii="仿宋" w:hAnsi="仿宋" w:eastAsia="仿宋" w:cs="仿宋"/>
          <w:b w:val="0"/>
          <w:bCs w:val="0"/>
          <w:color w:val="auto"/>
          <w:sz w:val="24"/>
          <w:szCs w:val="24"/>
          <w:highlight w:val="none"/>
          <w:lang w:val="en-US" w:eastAsia="zh-CN"/>
        </w:rPr>
        <w:t>因上述所列情形未能签约的供应商，不得以任何理由重新获得签约资格。</w:t>
      </w:r>
    </w:p>
    <w:bookmarkEnd w:id="28"/>
    <w:bookmarkEnd w:id="29"/>
    <w:bookmarkEnd w:id="30"/>
    <w:bookmarkEnd w:id="31"/>
    <w:bookmarkEnd w:id="32"/>
    <w:bookmarkEnd w:id="33"/>
    <w:bookmarkEnd w:id="34"/>
    <w:bookmarkEnd w:id="35"/>
    <w:bookmarkEnd w:id="36"/>
    <w:bookmarkEnd w:id="37"/>
    <w:p w14:paraId="3251724C">
      <w:pPr>
        <w:rPr>
          <w:rFonts w:hint="eastAsia" w:ascii="仿宋" w:hAnsi="仿宋" w:eastAsia="仿宋" w:cs="仿宋"/>
          <w:color w:val="auto"/>
          <w:sz w:val="44"/>
          <w:szCs w:val="44"/>
          <w:highlight w:val="none"/>
        </w:rPr>
      </w:pPr>
      <w:bookmarkStart w:id="52" w:name="_Toc22633"/>
      <w:r>
        <w:rPr>
          <w:rFonts w:hint="eastAsia" w:ascii="仿宋" w:hAnsi="仿宋" w:eastAsia="仿宋" w:cs="仿宋"/>
          <w:color w:val="auto"/>
          <w:sz w:val="44"/>
          <w:szCs w:val="44"/>
          <w:highlight w:val="none"/>
        </w:rPr>
        <w:br w:type="page"/>
      </w:r>
    </w:p>
    <w:p w14:paraId="35254E85">
      <w:pPr>
        <w:pStyle w:val="2"/>
        <w:pageBreakBefore w:val="0"/>
        <w:numPr>
          <w:ilvl w:val="0"/>
          <w:numId w:val="0"/>
        </w:numPr>
        <w:kinsoku/>
        <w:wordWrap/>
        <w:overflowPunct/>
        <w:bidi w:val="0"/>
        <w:spacing w:line="520" w:lineRule="exact"/>
        <w:jc w:val="center"/>
        <w:textAlignment w:val="auto"/>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第</w:t>
      </w:r>
      <w:r>
        <w:rPr>
          <w:rFonts w:hint="eastAsia" w:ascii="仿宋" w:hAnsi="仿宋" w:eastAsia="仿宋" w:cs="仿宋"/>
          <w:color w:val="auto"/>
          <w:sz w:val="44"/>
          <w:szCs w:val="44"/>
          <w:highlight w:val="none"/>
          <w:lang w:val="en-US" w:eastAsia="zh-CN"/>
        </w:rPr>
        <w:t>四</w:t>
      </w:r>
      <w:r>
        <w:rPr>
          <w:rFonts w:hint="eastAsia" w:ascii="仿宋" w:hAnsi="仿宋" w:eastAsia="仿宋" w:cs="仿宋"/>
          <w:color w:val="auto"/>
          <w:sz w:val="44"/>
          <w:szCs w:val="44"/>
          <w:highlight w:val="none"/>
        </w:rPr>
        <w:t>章</w:t>
      </w:r>
      <w:r>
        <w:rPr>
          <w:rFonts w:hint="eastAsia" w:ascii="仿宋" w:hAnsi="仿宋" w:eastAsia="仿宋" w:cs="仿宋"/>
          <w:color w:val="auto"/>
          <w:sz w:val="44"/>
          <w:szCs w:val="44"/>
          <w:highlight w:val="none"/>
          <w:lang w:val="en-US" w:eastAsia="zh-CN"/>
        </w:rPr>
        <w:t>响应</w:t>
      </w:r>
      <w:r>
        <w:rPr>
          <w:rFonts w:hint="eastAsia" w:ascii="仿宋" w:hAnsi="仿宋" w:eastAsia="仿宋" w:cs="仿宋"/>
          <w:color w:val="auto"/>
          <w:sz w:val="44"/>
          <w:szCs w:val="44"/>
          <w:highlight w:val="none"/>
        </w:rPr>
        <w:t>文件格式</w:t>
      </w:r>
      <w:bookmarkEnd w:id="52"/>
    </w:p>
    <w:p w14:paraId="439A18C5">
      <w:pPr>
        <w:pageBreakBefore w:val="0"/>
        <w:kinsoku/>
        <w:wordWrap/>
        <w:overflowPunct/>
        <w:bidi w:val="0"/>
        <w:spacing w:line="520" w:lineRule="exact"/>
        <w:jc w:val="righ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（正本    副本）</w:t>
      </w:r>
    </w:p>
    <w:p w14:paraId="42C3198B">
      <w:pPr>
        <w:pageBreakBefore w:val="0"/>
        <w:shd w:val="clear" w:color="auto" w:fill="FFFFFF"/>
        <w:kinsoku/>
        <w:wordWrap/>
        <w:overflowPunct/>
        <w:bidi w:val="0"/>
        <w:spacing w:line="520" w:lineRule="exact"/>
        <w:jc w:val="right"/>
        <w:textAlignment w:val="auto"/>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　　</w:t>
      </w:r>
    </w:p>
    <w:p w14:paraId="15016A2E">
      <w:pPr>
        <w:pStyle w:val="7"/>
        <w:pageBreakBefore w:val="0"/>
        <w:kinsoku/>
        <w:wordWrap/>
        <w:overflowPunct/>
        <w:bidi w:val="0"/>
        <w:spacing w:line="520" w:lineRule="exact"/>
        <w:textAlignment w:val="auto"/>
        <w:rPr>
          <w:rFonts w:hint="eastAsia" w:ascii="仿宋" w:hAnsi="仿宋" w:eastAsia="仿宋" w:cs="仿宋"/>
          <w:color w:val="auto"/>
          <w:sz w:val="24"/>
          <w:szCs w:val="24"/>
          <w:highlight w:val="none"/>
        </w:rPr>
      </w:pPr>
    </w:p>
    <w:p w14:paraId="1AB34B93">
      <w:pPr>
        <w:pageBreakBefore w:val="0"/>
        <w:kinsoku/>
        <w:wordWrap/>
        <w:overflowPunct/>
        <w:bidi w:val="0"/>
        <w:spacing w:line="520" w:lineRule="exact"/>
        <w:jc w:val="center"/>
        <w:textAlignment w:val="auto"/>
        <w:rPr>
          <w:rFonts w:hint="eastAsia" w:ascii="仿宋" w:hAnsi="仿宋" w:eastAsia="仿宋" w:cs="仿宋"/>
          <w:b/>
          <w:bCs/>
          <w:color w:val="auto"/>
          <w:sz w:val="24"/>
          <w:szCs w:val="24"/>
          <w:highlight w:val="none"/>
        </w:rPr>
      </w:pPr>
    </w:p>
    <w:p w14:paraId="580AB16D">
      <w:pPr>
        <w:keepNext w:val="0"/>
        <w:keepLines w:val="0"/>
        <w:pageBreakBefore w:val="0"/>
        <w:widowControl w:val="0"/>
        <w:kinsoku/>
        <w:wordWrap/>
        <w:overflowPunct/>
        <w:topLinePunct w:val="0"/>
        <w:autoSpaceDE/>
        <w:autoSpaceDN/>
        <w:bidi w:val="0"/>
        <w:adjustRightInd/>
        <w:snapToGrid/>
        <w:spacing w:before="313" w:beforeLines="100" w:after="313" w:afterLines="100" w:line="52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u w:val="single"/>
          <w:lang w:val="en-US" w:eastAsia="zh-CN"/>
        </w:rPr>
        <w:t>赣州旅投景区管理集团有限公司食堂2026-2027年度食材供应－框架协议供应商入围征集项目</w:t>
      </w:r>
    </w:p>
    <w:p w14:paraId="32BC293D">
      <w:pPr>
        <w:keepNext w:val="0"/>
        <w:keepLines w:val="0"/>
        <w:pageBreakBefore w:val="0"/>
        <w:widowControl w:val="0"/>
        <w:kinsoku/>
        <w:wordWrap/>
        <w:overflowPunct/>
        <w:topLinePunct w:val="0"/>
        <w:autoSpaceDE/>
        <w:autoSpaceDN/>
        <w:bidi w:val="0"/>
        <w:adjustRightInd/>
        <w:snapToGrid/>
        <w:spacing w:before="313" w:beforeLines="100" w:after="313" w:afterLines="100" w:line="520" w:lineRule="exact"/>
        <w:jc w:val="center"/>
        <w:textAlignment w:val="auto"/>
        <w:rPr>
          <w:rFonts w:hint="eastAsia" w:ascii="仿宋" w:hAnsi="仿宋" w:eastAsia="仿宋" w:cs="仿宋"/>
          <w:b/>
          <w:bCs/>
          <w:color w:val="auto"/>
          <w:sz w:val="32"/>
          <w:szCs w:val="32"/>
          <w:highlight w:val="none"/>
          <w:lang w:val="en-US" w:eastAsia="zh-CN"/>
        </w:rPr>
      </w:pPr>
    </w:p>
    <w:p w14:paraId="2DCA0BEC">
      <w:pPr>
        <w:keepNext w:val="0"/>
        <w:keepLines w:val="0"/>
        <w:pageBreakBefore w:val="0"/>
        <w:widowControl w:val="0"/>
        <w:kinsoku/>
        <w:wordWrap/>
        <w:overflowPunct/>
        <w:topLinePunct w:val="0"/>
        <w:autoSpaceDE/>
        <w:autoSpaceDN/>
        <w:bidi w:val="0"/>
        <w:adjustRightInd/>
        <w:snapToGrid/>
        <w:spacing w:before="313" w:beforeLines="100" w:after="313" w:afterLines="100" w:line="520" w:lineRule="exact"/>
        <w:jc w:val="center"/>
        <w:textAlignment w:val="auto"/>
        <w:rPr>
          <w:rFonts w:hint="eastAsia"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lang w:val="en-US" w:eastAsia="zh-CN"/>
        </w:rPr>
        <w:t>响 应</w:t>
      </w:r>
      <w:r>
        <w:rPr>
          <w:rFonts w:hint="eastAsia" w:ascii="仿宋" w:hAnsi="仿宋" w:eastAsia="仿宋" w:cs="仿宋"/>
          <w:b/>
          <w:bCs/>
          <w:color w:val="auto"/>
          <w:sz w:val="48"/>
          <w:szCs w:val="48"/>
          <w:highlight w:val="none"/>
        </w:rPr>
        <w:t xml:space="preserve"> 文 件</w:t>
      </w:r>
    </w:p>
    <w:p w14:paraId="4D1FD860">
      <w:pPr>
        <w:pageBreakBefore w:val="0"/>
        <w:kinsoku/>
        <w:wordWrap/>
        <w:overflowPunct/>
        <w:bidi w:val="0"/>
        <w:spacing w:line="520" w:lineRule="exact"/>
        <w:textAlignment w:val="auto"/>
        <w:rPr>
          <w:rFonts w:hint="eastAsia" w:ascii="仿宋" w:hAnsi="仿宋" w:eastAsia="仿宋" w:cs="仿宋"/>
          <w:color w:val="auto"/>
          <w:sz w:val="24"/>
          <w:szCs w:val="24"/>
          <w:highlight w:val="none"/>
        </w:rPr>
      </w:pPr>
    </w:p>
    <w:p w14:paraId="7A508806">
      <w:pPr>
        <w:pStyle w:val="7"/>
        <w:pageBreakBefore w:val="0"/>
        <w:kinsoku/>
        <w:wordWrap/>
        <w:overflowPunct/>
        <w:bidi w:val="0"/>
        <w:spacing w:line="520" w:lineRule="exact"/>
        <w:textAlignment w:val="auto"/>
        <w:rPr>
          <w:rFonts w:hint="eastAsia" w:ascii="仿宋" w:hAnsi="仿宋" w:eastAsia="仿宋" w:cs="仿宋"/>
          <w:color w:val="auto"/>
          <w:sz w:val="24"/>
          <w:szCs w:val="24"/>
          <w:highlight w:val="none"/>
        </w:rPr>
      </w:pPr>
    </w:p>
    <w:p w14:paraId="0448E8FC">
      <w:pPr>
        <w:pageBreakBefore w:val="0"/>
        <w:kinsoku/>
        <w:wordWrap/>
        <w:overflowPunct/>
        <w:bidi w:val="0"/>
        <w:spacing w:line="520" w:lineRule="exact"/>
        <w:textAlignment w:val="auto"/>
        <w:rPr>
          <w:rFonts w:hint="eastAsia" w:ascii="仿宋" w:hAnsi="仿宋" w:eastAsia="仿宋" w:cs="仿宋"/>
          <w:color w:val="auto"/>
          <w:sz w:val="24"/>
          <w:szCs w:val="24"/>
          <w:highlight w:val="none"/>
        </w:rPr>
      </w:pPr>
    </w:p>
    <w:p w14:paraId="7C95E046">
      <w:pPr>
        <w:pStyle w:val="7"/>
        <w:pageBreakBefore w:val="0"/>
        <w:kinsoku/>
        <w:wordWrap/>
        <w:overflowPunct/>
        <w:bidi w:val="0"/>
        <w:spacing w:line="520" w:lineRule="exact"/>
        <w:textAlignment w:val="auto"/>
        <w:rPr>
          <w:rFonts w:hint="eastAsia" w:ascii="仿宋" w:hAnsi="仿宋" w:eastAsia="仿宋" w:cs="仿宋"/>
          <w:color w:val="auto"/>
          <w:sz w:val="24"/>
          <w:szCs w:val="24"/>
          <w:highlight w:val="none"/>
        </w:rPr>
      </w:pPr>
    </w:p>
    <w:p w14:paraId="450D9520">
      <w:pPr>
        <w:pageBreakBefore w:val="0"/>
        <w:kinsoku/>
        <w:wordWrap/>
        <w:overflowPunct/>
        <w:bidi w:val="0"/>
        <w:spacing w:line="520" w:lineRule="exact"/>
        <w:textAlignment w:val="auto"/>
        <w:rPr>
          <w:rFonts w:hint="eastAsia" w:ascii="仿宋" w:hAnsi="仿宋" w:eastAsia="仿宋" w:cs="仿宋"/>
          <w:color w:val="auto"/>
          <w:sz w:val="24"/>
          <w:szCs w:val="24"/>
          <w:highlight w:val="none"/>
        </w:rPr>
      </w:pPr>
    </w:p>
    <w:p w14:paraId="2794DEB9">
      <w:pPr>
        <w:pStyle w:val="7"/>
        <w:pageBreakBefore w:val="0"/>
        <w:kinsoku/>
        <w:wordWrap/>
        <w:overflowPunct/>
        <w:bidi w:val="0"/>
        <w:spacing w:line="520" w:lineRule="exact"/>
        <w:jc w:val="both"/>
        <w:textAlignment w:val="auto"/>
        <w:rPr>
          <w:rFonts w:hint="eastAsia" w:ascii="仿宋" w:hAnsi="仿宋" w:eastAsia="仿宋" w:cs="仿宋"/>
          <w:color w:val="auto"/>
          <w:sz w:val="24"/>
          <w:szCs w:val="24"/>
          <w:highlight w:val="none"/>
          <w:lang w:val="en-US" w:eastAsia="zh-CN"/>
        </w:rPr>
      </w:pPr>
    </w:p>
    <w:p w14:paraId="6481BCB6">
      <w:pPr>
        <w:pageBreakBefore w:val="0"/>
        <w:kinsoku/>
        <w:wordWrap/>
        <w:overflowPunct/>
        <w:bidi w:val="0"/>
        <w:spacing w:line="520" w:lineRule="exact"/>
        <w:textAlignment w:val="auto"/>
        <w:rPr>
          <w:rFonts w:hint="eastAsia" w:ascii="仿宋" w:hAnsi="仿宋" w:eastAsia="仿宋" w:cs="仿宋"/>
          <w:color w:val="auto"/>
          <w:sz w:val="24"/>
          <w:szCs w:val="24"/>
          <w:highlight w:val="none"/>
          <w:lang w:val="en-US" w:eastAsia="zh-CN"/>
        </w:rPr>
      </w:pPr>
    </w:p>
    <w:p w14:paraId="22210C2E">
      <w:pPr>
        <w:pageBreakBefore w:val="0"/>
        <w:kinsoku/>
        <w:wordWrap/>
        <w:overflowPunct/>
        <w:bidi w:val="0"/>
        <w:spacing w:line="520" w:lineRule="exact"/>
        <w:textAlignment w:val="auto"/>
        <w:rPr>
          <w:rFonts w:hint="eastAsia" w:ascii="仿宋" w:hAnsi="仿宋" w:eastAsia="仿宋" w:cs="仿宋"/>
          <w:color w:val="auto"/>
          <w:sz w:val="32"/>
          <w:szCs w:val="32"/>
          <w:highlight w:val="none"/>
        </w:rPr>
      </w:pPr>
    </w:p>
    <w:p w14:paraId="2D5C1456">
      <w:pPr>
        <w:keepNext w:val="0"/>
        <w:keepLines w:val="0"/>
        <w:pageBreakBefore w:val="0"/>
        <w:widowControl w:val="0"/>
        <w:kinsoku/>
        <w:wordWrap/>
        <w:overflowPunct/>
        <w:topLinePunct w:val="0"/>
        <w:autoSpaceDE/>
        <w:autoSpaceDN/>
        <w:bidi w:val="0"/>
        <w:adjustRightInd/>
        <w:snapToGrid/>
        <w:spacing w:after="313" w:afterLines="100" w:line="520" w:lineRule="exact"/>
        <w:jc w:val="left"/>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响应</w:t>
      </w:r>
      <w:r>
        <w:rPr>
          <w:rFonts w:hint="eastAsia" w:ascii="仿宋" w:hAnsi="仿宋" w:eastAsia="仿宋" w:cs="仿宋"/>
          <w:color w:val="auto"/>
          <w:sz w:val="30"/>
          <w:szCs w:val="30"/>
          <w:highlight w:val="none"/>
        </w:rPr>
        <w:t>单位</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公章</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u w:val="single"/>
        </w:rPr>
        <w:t>　</w:t>
      </w:r>
      <w:r>
        <w:rPr>
          <w:rFonts w:hint="eastAsia" w:ascii="仿宋" w:hAnsi="仿宋" w:eastAsia="仿宋" w:cs="仿宋"/>
          <w:color w:val="auto"/>
          <w:sz w:val="30"/>
          <w:szCs w:val="30"/>
          <w:highlight w:val="none"/>
          <w:u w:val="single"/>
          <w:lang w:val="en-US" w:eastAsia="zh-CN"/>
        </w:rPr>
        <w:t xml:space="preserve">                                 </w:t>
      </w:r>
    </w:p>
    <w:p w14:paraId="57C8B3FB">
      <w:pPr>
        <w:keepNext w:val="0"/>
        <w:keepLines w:val="0"/>
        <w:pageBreakBefore w:val="0"/>
        <w:widowControl w:val="0"/>
        <w:kinsoku/>
        <w:wordWrap/>
        <w:overflowPunct/>
        <w:topLinePunct w:val="0"/>
        <w:autoSpaceDE/>
        <w:autoSpaceDN/>
        <w:bidi w:val="0"/>
        <w:adjustRightInd/>
        <w:snapToGrid/>
        <w:spacing w:after="313" w:afterLines="100" w:line="520" w:lineRule="exact"/>
        <w:jc w:val="left"/>
        <w:textAlignment w:val="auto"/>
        <w:rPr>
          <w:rFonts w:hint="eastAsia" w:ascii="仿宋" w:hAnsi="仿宋" w:eastAsia="仿宋" w:cs="仿宋"/>
          <w:color w:val="auto"/>
          <w:sz w:val="30"/>
          <w:szCs w:val="30"/>
          <w:highlight w:val="none"/>
          <w:u w:val="single"/>
          <w:lang w:val="en-US" w:eastAsia="zh-CN"/>
        </w:rPr>
      </w:pPr>
      <w:r>
        <w:rPr>
          <w:rFonts w:hint="eastAsia" w:ascii="仿宋" w:hAnsi="仿宋" w:eastAsia="仿宋" w:cs="仿宋"/>
          <w:color w:val="auto"/>
          <w:sz w:val="30"/>
          <w:szCs w:val="30"/>
          <w:highlight w:val="none"/>
        </w:rPr>
        <w:t>法定代表人或其委托代理人</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签名或印章</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u w:val="single"/>
          <w:lang w:val="en-US" w:eastAsia="zh-CN"/>
        </w:rPr>
        <w:t xml:space="preserve">            </w:t>
      </w:r>
    </w:p>
    <w:p w14:paraId="57456C6E">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highlight w:val="none"/>
          <w:u w:val="none"/>
          <w:lang w:val="en-US" w:eastAsia="zh-CN"/>
        </w:rPr>
        <w:t>联系电话：</w:t>
      </w:r>
      <w:r>
        <w:rPr>
          <w:rFonts w:hint="eastAsia" w:ascii="仿宋" w:hAnsi="仿宋" w:eastAsia="仿宋" w:cs="仿宋"/>
          <w:color w:val="auto"/>
          <w:sz w:val="30"/>
          <w:szCs w:val="30"/>
          <w:highlight w:val="none"/>
          <w:u w:val="single"/>
          <w:lang w:val="en-US" w:eastAsia="zh-CN"/>
        </w:rPr>
        <w:t xml:space="preserve">                                           </w:t>
      </w:r>
    </w:p>
    <w:p w14:paraId="7157398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color w:val="auto"/>
          <w:sz w:val="30"/>
          <w:szCs w:val="30"/>
          <w:highlight w:val="none"/>
          <w:u w:val="single"/>
          <w:lang w:val="en-US" w:eastAsia="zh-CN"/>
        </w:rPr>
      </w:pPr>
    </w:p>
    <w:p w14:paraId="2C45843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color w:val="auto"/>
          <w:sz w:val="30"/>
          <w:szCs w:val="30"/>
          <w:highlight w:val="none"/>
          <w:lang w:val="en-US" w:eastAsia="zh-CN"/>
        </w:rPr>
        <w:sectPr>
          <w:pgSz w:w="11907" w:h="16839"/>
          <w:pgMar w:top="1440" w:right="1800" w:bottom="1440" w:left="1800" w:header="851" w:footer="992" w:gutter="0"/>
          <w:cols w:space="720" w:num="1"/>
          <w:docGrid w:linePitch="312" w:charSpace="0"/>
        </w:sectPr>
      </w:pPr>
      <w:r>
        <w:rPr>
          <w:rFonts w:hint="eastAsia" w:ascii="仿宋" w:hAnsi="仿宋" w:eastAsia="仿宋" w:cs="仿宋"/>
          <w:color w:val="auto"/>
          <w:sz w:val="30"/>
          <w:szCs w:val="30"/>
          <w:highlight w:val="none"/>
          <w:u w:val="single"/>
          <w:lang w:val="en-US" w:eastAsia="zh-CN"/>
        </w:rPr>
        <w:t xml:space="preserve">     </w:t>
      </w:r>
      <w:r>
        <w:rPr>
          <w:rFonts w:hint="eastAsia" w:ascii="仿宋" w:hAnsi="仿宋" w:eastAsia="仿宋" w:cs="仿宋"/>
          <w:color w:val="auto"/>
          <w:sz w:val="30"/>
          <w:szCs w:val="30"/>
          <w:highlight w:val="none"/>
          <w:u w:val="none"/>
          <w:lang w:val="en-US" w:eastAsia="zh-CN"/>
        </w:rPr>
        <w:t>年</w:t>
      </w:r>
      <w:r>
        <w:rPr>
          <w:rFonts w:hint="eastAsia" w:ascii="仿宋" w:hAnsi="仿宋" w:eastAsia="仿宋" w:cs="仿宋"/>
          <w:color w:val="auto"/>
          <w:sz w:val="30"/>
          <w:szCs w:val="30"/>
          <w:highlight w:val="none"/>
          <w:u w:val="single"/>
          <w:lang w:val="en-US" w:eastAsia="zh-CN"/>
        </w:rPr>
        <w:t xml:space="preserve">    </w:t>
      </w:r>
      <w:r>
        <w:rPr>
          <w:rFonts w:hint="eastAsia" w:ascii="仿宋" w:hAnsi="仿宋" w:eastAsia="仿宋" w:cs="仿宋"/>
          <w:color w:val="auto"/>
          <w:sz w:val="30"/>
          <w:szCs w:val="30"/>
          <w:highlight w:val="none"/>
          <w:u w:val="none"/>
          <w:lang w:val="en-US" w:eastAsia="zh-CN"/>
        </w:rPr>
        <w:t>月</w:t>
      </w:r>
      <w:r>
        <w:rPr>
          <w:rFonts w:hint="eastAsia" w:ascii="仿宋" w:hAnsi="仿宋" w:eastAsia="仿宋" w:cs="仿宋"/>
          <w:color w:val="auto"/>
          <w:sz w:val="30"/>
          <w:szCs w:val="30"/>
          <w:highlight w:val="none"/>
          <w:u w:val="single"/>
          <w:lang w:val="en-US" w:eastAsia="zh-CN"/>
        </w:rPr>
        <w:t xml:space="preserve">    </w:t>
      </w:r>
      <w:r>
        <w:rPr>
          <w:rFonts w:hint="eastAsia" w:ascii="仿宋" w:hAnsi="仿宋" w:eastAsia="仿宋" w:cs="仿宋"/>
          <w:color w:val="auto"/>
          <w:sz w:val="30"/>
          <w:szCs w:val="30"/>
          <w:highlight w:val="none"/>
          <w:u w:val="none"/>
          <w:lang w:val="en-US" w:eastAsia="zh-CN"/>
        </w:rPr>
        <w:t>日</w:t>
      </w:r>
    </w:p>
    <w:p w14:paraId="411EE005">
      <w:pPr>
        <w:keepNext w:val="0"/>
        <w:keepLines w:val="0"/>
        <w:pageBreakBefore w:val="0"/>
        <w:widowControl w:val="0"/>
        <w:kinsoku/>
        <w:wordWrap/>
        <w:overflowPunct/>
        <w:topLinePunct w:val="0"/>
        <w:autoSpaceDE/>
        <w:autoSpaceDN/>
        <w:bidi w:val="0"/>
        <w:adjustRightInd/>
        <w:snapToGrid/>
        <w:spacing w:after="100" w:line="480" w:lineRule="exact"/>
        <w:jc w:val="center"/>
        <w:textAlignment w:val="auto"/>
        <w:outlineLvl w:val="1"/>
        <w:rPr>
          <w:rFonts w:hint="eastAsia" w:ascii="仿宋" w:hAnsi="仿宋" w:eastAsia="仿宋" w:cs="仿宋"/>
          <w:b/>
          <w:bCs/>
          <w:color w:val="auto"/>
          <w:sz w:val="32"/>
          <w:szCs w:val="32"/>
          <w:highlight w:val="none"/>
        </w:rPr>
      </w:pPr>
      <w:bookmarkStart w:id="53" w:name="授权书格式"/>
      <w:bookmarkEnd w:id="53"/>
      <w:bookmarkStart w:id="54" w:name="_Toc20072"/>
      <w:r>
        <w:rPr>
          <w:rFonts w:hint="eastAsia" w:ascii="仿宋" w:hAnsi="仿宋" w:eastAsia="仿宋" w:cs="仿宋"/>
          <w:b/>
          <w:bCs/>
          <w:color w:val="auto"/>
          <w:sz w:val="32"/>
          <w:szCs w:val="32"/>
          <w:highlight w:val="none"/>
        </w:rPr>
        <w:t>报  价  函</w:t>
      </w:r>
      <w:bookmarkEnd w:id="54"/>
    </w:p>
    <w:p w14:paraId="2E394414">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b/>
          <w:color w:val="auto"/>
          <w:position w:val="-4"/>
          <w:sz w:val="24"/>
          <w:szCs w:val="24"/>
          <w:highlight w:val="none"/>
        </w:rPr>
        <w:t>致：</w:t>
      </w:r>
      <w:r>
        <w:rPr>
          <w:rFonts w:hint="eastAsia" w:ascii="仿宋" w:hAnsi="仿宋" w:eastAsia="仿宋" w:cs="仿宋"/>
          <w:b/>
          <w:color w:val="auto"/>
          <w:spacing w:val="-11"/>
          <w:position w:val="-4"/>
          <w:sz w:val="24"/>
          <w:szCs w:val="24"/>
          <w:highlight w:val="none"/>
          <w:lang w:val="en-US" w:eastAsia="zh-CN"/>
        </w:rPr>
        <w:t>赣州旅投景区管理集团有限公司</w:t>
      </w:r>
    </w:p>
    <w:p w14:paraId="4A6B73D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eastAsia="zh-CN"/>
        </w:rPr>
        <w:t>1.我方已仔细研究贵方发布的《赣州旅投景区管理集团有限公司食堂2026-2027年度食材供应－框架协议供应商入围征集项目》征集文件的全部内容，并依据附件2：采购清单，结合江南宋城景区周边3km范围内大型超市销售平均价</w:t>
      </w:r>
      <w:r>
        <w:rPr>
          <w:rFonts w:hint="eastAsia" w:ascii="仿宋" w:hAnsi="仿宋" w:eastAsia="仿宋" w:cs="仿宋"/>
          <w:color w:val="auto"/>
          <w:sz w:val="24"/>
          <w:szCs w:val="24"/>
          <w:highlight w:val="none"/>
          <w:u w:val="none"/>
          <w:lang w:val="en-US" w:eastAsia="zh-CN"/>
        </w:rPr>
        <w:t>为</w:t>
      </w:r>
      <w:r>
        <w:rPr>
          <w:rFonts w:hint="eastAsia" w:ascii="仿宋" w:hAnsi="仿宋" w:eastAsia="仿宋" w:cs="仿宋"/>
          <w:color w:val="auto"/>
          <w:sz w:val="24"/>
          <w:szCs w:val="24"/>
          <w:highlight w:val="none"/>
          <w:u w:val="none"/>
          <w:lang w:eastAsia="zh-CN"/>
        </w:rPr>
        <w:t>基准价进行了审慎核算，</w:t>
      </w:r>
      <w:r>
        <w:rPr>
          <w:rFonts w:hint="eastAsia" w:ascii="仿宋" w:hAnsi="仿宋" w:eastAsia="仿宋" w:cs="仿宋"/>
          <w:color w:val="auto"/>
          <w:sz w:val="24"/>
          <w:szCs w:val="24"/>
          <w:highlight w:val="none"/>
          <w:u w:val="none"/>
          <w:lang w:val="en-US" w:eastAsia="zh-CN"/>
        </w:rPr>
        <w:t>并且</w:t>
      </w:r>
      <w:r>
        <w:rPr>
          <w:rFonts w:hint="eastAsia" w:ascii="仿宋" w:hAnsi="仿宋" w:eastAsia="仿宋" w:cs="仿宋"/>
          <w:color w:val="auto"/>
          <w:sz w:val="24"/>
          <w:szCs w:val="24"/>
          <w:highlight w:val="none"/>
          <w:u w:val="none"/>
        </w:rPr>
        <w:t>认同</w:t>
      </w:r>
      <w:r>
        <w:rPr>
          <w:rFonts w:hint="eastAsia" w:ascii="仿宋" w:hAnsi="仿宋" w:eastAsia="仿宋" w:cs="仿宋"/>
          <w:color w:val="auto"/>
          <w:sz w:val="24"/>
          <w:szCs w:val="24"/>
          <w:highlight w:val="none"/>
          <w:u w:val="none"/>
          <w:lang w:val="en-US" w:eastAsia="zh-CN"/>
        </w:rPr>
        <w:t>征集</w:t>
      </w:r>
      <w:r>
        <w:rPr>
          <w:rFonts w:hint="eastAsia" w:ascii="仿宋" w:hAnsi="仿宋" w:eastAsia="仿宋" w:cs="仿宋"/>
          <w:color w:val="auto"/>
          <w:sz w:val="24"/>
          <w:szCs w:val="24"/>
          <w:highlight w:val="none"/>
          <w:u w:val="none"/>
        </w:rPr>
        <w:t>文件的所有内容</w:t>
      </w:r>
      <w:r>
        <w:rPr>
          <w:rFonts w:hint="eastAsia" w:ascii="仿宋" w:hAnsi="仿宋" w:eastAsia="仿宋" w:cs="仿宋"/>
          <w:color w:val="auto"/>
          <w:sz w:val="24"/>
          <w:szCs w:val="24"/>
          <w:highlight w:val="none"/>
          <w:u w:val="none"/>
          <w:lang w:eastAsia="zh-CN"/>
        </w:rPr>
        <w:t>，</w:t>
      </w:r>
      <w:r>
        <w:rPr>
          <w:rFonts w:hint="eastAsia" w:ascii="仿宋" w:hAnsi="仿宋" w:eastAsia="仿宋" w:cs="仿宋"/>
          <w:color w:val="auto"/>
          <w:sz w:val="24"/>
          <w:szCs w:val="24"/>
          <w:highlight w:val="none"/>
          <w:u w:val="none"/>
        </w:rPr>
        <w:t>接受全部条件</w:t>
      </w:r>
      <w:r>
        <w:rPr>
          <w:rFonts w:hint="eastAsia" w:ascii="仿宋" w:hAnsi="仿宋" w:eastAsia="仿宋" w:cs="仿宋"/>
          <w:color w:val="auto"/>
          <w:sz w:val="24"/>
          <w:szCs w:val="24"/>
          <w:highlight w:val="none"/>
          <w:u w:val="none"/>
          <w:lang w:eastAsia="zh-CN"/>
        </w:rPr>
        <w:t>。</w:t>
      </w:r>
      <w:r>
        <w:rPr>
          <w:rFonts w:hint="eastAsia" w:ascii="仿宋" w:hAnsi="仿宋" w:eastAsia="仿宋" w:cs="仿宋"/>
          <w:color w:val="auto"/>
          <w:sz w:val="24"/>
          <w:szCs w:val="24"/>
          <w:highlight w:val="none"/>
          <w:u w:val="none"/>
        </w:rPr>
        <w:t>愿意以</w:t>
      </w:r>
      <w:r>
        <w:rPr>
          <w:rFonts w:hint="eastAsia" w:ascii="仿宋" w:hAnsi="仿宋" w:eastAsia="仿宋" w:cs="仿宋"/>
          <w:color w:val="auto"/>
          <w:sz w:val="24"/>
          <w:szCs w:val="24"/>
          <w:highlight w:val="none"/>
          <w:u w:val="none"/>
          <w:lang w:eastAsia="zh-CN"/>
        </w:rPr>
        <w:t>：</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下浮率响应，发票类型为：</w:t>
      </w:r>
      <w:r>
        <w:rPr>
          <w:rFonts w:hint="eastAsia" w:ascii="仿宋" w:hAnsi="仿宋" w:eastAsia="仿宋" w:cs="仿宋"/>
          <w:b/>
          <w:bCs/>
          <w:color w:val="auto"/>
          <w:sz w:val="24"/>
          <w:szCs w:val="24"/>
          <w:highlight w:val="none"/>
          <w:u w:val="none"/>
          <w:lang w:val="en-US" w:eastAsia="zh-CN"/>
        </w:rPr>
        <w:t>增值税（专票 / 普票）（请响应单位自行打钩）</w:t>
      </w:r>
      <w:r>
        <w:rPr>
          <w:rFonts w:hint="eastAsia" w:ascii="仿宋" w:hAnsi="仿宋" w:eastAsia="仿宋" w:cs="仿宋"/>
          <w:color w:val="auto"/>
          <w:sz w:val="24"/>
          <w:szCs w:val="24"/>
          <w:highlight w:val="none"/>
          <w:u w:val="none"/>
          <w:lang w:val="en-US" w:eastAsia="zh-CN"/>
        </w:rPr>
        <w:t>。如获成交，我方承诺严格履行征集文件规定的全部义务和责任，并接受贵方的所有条款安排。</w:t>
      </w:r>
    </w:p>
    <w:p w14:paraId="0F1A49B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2.在合同协议书正式签署生效之前，本报价函连同你方的</w:t>
      </w:r>
      <w:r>
        <w:rPr>
          <w:rFonts w:hint="eastAsia" w:ascii="仿宋" w:hAnsi="仿宋" w:eastAsia="仿宋" w:cs="仿宋"/>
          <w:color w:val="auto"/>
          <w:sz w:val="24"/>
          <w:szCs w:val="24"/>
          <w:highlight w:val="none"/>
          <w:u w:val="none"/>
          <w:lang w:val="en-US" w:eastAsia="zh-CN"/>
        </w:rPr>
        <w:tab/>
      </w:r>
      <w:r>
        <w:rPr>
          <w:rFonts w:hint="eastAsia" w:ascii="仿宋" w:hAnsi="仿宋" w:eastAsia="仿宋" w:cs="仿宋"/>
          <w:color w:val="auto"/>
          <w:sz w:val="24"/>
          <w:szCs w:val="24"/>
          <w:highlight w:val="none"/>
          <w:u w:val="none"/>
          <w:lang w:val="en-US" w:eastAsia="zh-CN"/>
        </w:rPr>
        <w:t>公示文件将构成我们双方之间共同遵守的文件，对双方具有约束力。</w:t>
      </w:r>
    </w:p>
    <w:p w14:paraId="4409BCC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3.计算说明</w:t>
      </w:r>
      <w:r>
        <w:rPr>
          <w:rFonts w:hint="eastAsia" w:ascii="仿宋" w:hAnsi="仿宋" w:eastAsia="仿宋" w:cs="仿宋"/>
          <w:b/>
          <w:bCs/>
          <w:color w:val="auto"/>
          <w:sz w:val="24"/>
          <w:szCs w:val="24"/>
          <w:highlight w:val="none"/>
          <w:u w:val="none"/>
          <w:lang w:val="en-US" w:eastAsia="zh-CN"/>
        </w:rPr>
        <w:t>（请响应单位自行填写）</w:t>
      </w:r>
    </w:p>
    <w:p w14:paraId="39DA4FE6">
      <w:pPr>
        <w:keepNext w:val="0"/>
        <w:keepLines w:val="0"/>
        <w:pageBreakBefore w:val="0"/>
        <w:widowControl w:val="0"/>
        <w:kinsoku/>
        <w:wordWrap/>
        <w:overflowPunct/>
        <w:topLinePunct w:val="0"/>
        <w:autoSpaceDE/>
        <w:autoSpaceDN/>
        <w:bidi w:val="0"/>
        <w:adjustRightInd/>
        <w:snapToGrid/>
        <w:spacing w:before="0" w:line="480" w:lineRule="exact"/>
        <w:ind w:firstLine="480" w:firstLineChars="200"/>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lang w:val="en-US" w:eastAsia="zh-CN"/>
        </w:rPr>
        <w:t>例如：</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none"/>
          <w:lang w:val="en-US" w:eastAsia="zh-CN"/>
        </w:rPr>
        <w:t>产品</w:t>
      </w:r>
      <w:r>
        <w:rPr>
          <w:rFonts w:hint="eastAsia" w:ascii="仿宋" w:hAnsi="仿宋" w:eastAsia="仿宋" w:cs="仿宋"/>
          <w:color w:val="auto"/>
          <w:sz w:val="24"/>
          <w:szCs w:val="24"/>
          <w:highlight w:val="none"/>
          <w:u w:val="none"/>
          <w:lang w:val="en-US" w:eastAsia="zh-CN"/>
        </w:rPr>
        <w:t>2026年11月江南宋城景区周边3km范围内大型超市销售平均价为</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none"/>
          <w:lang w:val="en-US" w:eastAsia="zh-CN"/>
        </w:rPr>
        <w:t>元/斤</w:t>
      </w:r>
      <w:r>
        <w:rPr>
          <w:rFonts w:hint="eastAsia" w:ascii="仿宋" w:hAnsi="仿宋" w:eastAsia="仿宋" w:cs="仿宋"/>
          <w:color w:val="auto"/>
          <w:sz w:val="24"/>
          <w:szCs w:val="24"/>
          <w:highlight w:val="none"/>
          <w:u w:val="none"/>
          <w:lang w:val="en-US" w:eastAsia="zh-CN"/>
        </w:rPr>
        <w:t>，固定下浮率为3%，我方报价下浮率为</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，则2026年11月结算价格为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 xml:space="preserve">×（1-3%）×（1-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 xml:space="preserve"> </w:t>
      </w:r>
      <w:r>
        <w:rPr>
          <w:rFonts w:hint="eastAsia" w:ascii="仿宋" w:hAnsi="仿宋" w:eastAsia="仿宋" w:cs="仿宋"/>
          <w:b/>
          <w:bCs/>
          <w:color w:val="auto"/>
          <w:sz w:val="24"/>
          <w:szCs w:val="24"/>
          <w:highlight w:val="none"/>
          <w:u w:val="none"/>
          <w:lang w:val="en-US" w:eastAsia="zh-CN"/>
        </w:rPr>
        <w:t xml:space="preserve">= </w:t>
      </w:r>
      <w:r>
        <w:rPr>
          <w:rFonts w:hint="eastAsia" w:ascii="仿宋" w:hAnsi="仿宋" w:eastAsia="仿宋" w:cs="仿宋"/>
          <w:color w:val="auto"/>
          <w:sz w:val="24"/>
          <w:szCs w:val="24"/>
          <w:highlight w:val="none"/>
          <w:u w:val="none"/>
          <w:lang w:val="en-US" w:eastAsia="zh-CN"/>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none"/>
          <w:lang w:val="en-US" w:eastAsia="zh-CN"/>
        </w:rPr>
        <w:t>元/斤</w:t>
      </w:r>
      <w:r>
        <w:rPr>
          <w:rFonts w:hint="eastAsia" w:ascii="仿宋" w:hAnsi="仿宋" w:eastAsia="仿宋" w:cs="仿宋"/>
          <w:color w:val="auto"/>
          <w:sz w:val="24"/>
          <w:szCs w:val="24"/>
          <w:highlight w:val="none"/>
          <w:u w:val="none"/>
          <w:lang w:val="en-US" w:eastAsia="zh-CN"/>
        </w:rPr>
        <w:t>，</w:t>
      </w:r>
      <w:r>
        <w:rPr>
          <w:rFonts w:hint="eastAsia" w:ascii="仿宋" w:hAnsi="仿宋" w:eastAsia="仿宋" w:cs="仿宋"/>
          <w:b/>
          <w:bCs/>
          <w:color w:val="auto"/>
          <w:sz w:val="24"/>
          <w:szCs w:val="24"/>
          <w:highlight w:val="none"/>
          <w:u w:val="none"/>
          <w:lang w:val="en-US" w:eastAsia="zh-CN"/>
        </w:rPr>
        <w:t>江南宋城景区周边3km范围内大型超市销售价（以大润发国际时代店、国光超市步步高店、百户超市健康路店售价取平均作参考）</w:t>
      </w:r>
      <w:r>
        <w:rPr>
          <w:rFonts w:hint="eastAsia" w:ascii="仿宋" w:hAnsi="仿宋" w:eastAsia="仿宋" w:cs="仿宋"/>
          <w:color w:val="auto"/>
          <w:sz w:val="24"/>
          <w:szCs w:val="24"/>
          <w:highlight w:val="none"/>
          <w:u w:val="none"/>
          <w:lang w:val="en-US" w:eastAsia="zh-CN"/>
        </w:rPr>
        <w:t>每月调研调整，固定下浮率3%以及我方报价下浮率</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不再调整。</w:t>
      </w:r>
    </w:p>
    <w:p w14:paraId="2CE62485">
      <w:pPr>
        <w:keepNext w:val="0"/>
        <w:keepLines w:val="0"/>
        <w:pageBreakBefore w:val="0"/>
        <w:widowControl w:val="0"/>
        <w:tabs>
          <w:tab w:val="left" w:pos="7460"/>
          <w:tab w:val="left" w:pos="8080"/>
          <w:tab w:val="left" w:pos="8800"/>
        </w:tabs>
        <w:kinsoku/>
        <w:wordWrap/>
        <w:overflowPunct/>
        <w:topLinePunct w:val="0"/>
        <w:autoSpaceDE w:val="0"/>
        <w:autoSpaceDN w:val="0"/>
        <w:bidi w:val="0"/>
        <w:adjustRightInd w:val="0"/>
        <w:snapToGrid/>
        <w:spacing w:before="200" w:line="480" w:lineRule="exact"/>
        <w:ind w:left="3640" w:leftChars="1400" w:right="62" w:hanging="280" w:hangingChars="117"/>
        <w:textAlignment w:val="auto"/>
        <w:rPr>
          <w:rFonts w:hint="eastAsia" w:ascii="仿宋" w:hAnsi="仿宋" w:eastAsia="仿宋" w:cs="仿宋"/>
          <w:color w:val="auto"/>
          <w:sz w:val="24"/>
          <w:szCs w:val="24"/>
          <w:highlight w:val="none"/>
          <w:lang w:val="en-US" w:eastAsia="zh-CN"/>
        </w:rPr>
      </w:pPr>
    </w:p>
    <w:p w14:paraId="2F14D23F">
      <w:pPr>
        <w:keepNext w:val="0"/>
        <w:keepLines w:val="0"/>
        <w:pageBreakBefore w:val="0"/>
        <w:widowControl w:val="0"/>
        <w:tabs>
          <w:tab w:val="left" w:pos="7460"/>
          <w:tab w:val="left" w:pos="8080"/>
          <w:tab w:val="left" w:pos="8800"/>
        </w:tabs>
        <w:kinsoku/>
        <w:wordWrap/>
        <w:overflowPunct/>
        <w:topLinePunct w:val="0"/>
        <w:autoSpaceDE w:val="0"/>
        <w:autoSpaceDN w:val="0"/>
        <w:bidi w:val="0"/>
        <w:adjustRightInd w:val="0"/>
        <w:snapToGrid/>
        <w:spacing w:before="200" w:line="480" w:lineRule="exact"/>
        <w:ind w:left="3640" w:leftChars="1400" w:right="62" w:hanging="280" w:hangingChars="11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响应单位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14:paraId="138B0631">
      <w:pPr>
        <w:keepNext w:val="0"/>
        <w:keepLines w:val="0"/>
        <w:pageBreakBefore w:val="0"/>
        <w:widowControl w:val="0"/>
        <w:tabs>
          <w:tab w:val="left" w:pos="7455"/>
          <w:tab w:val="left" w:pos="8080"/>
          <w:tab w:val="left" w:pos="8800"/>
        </w:tabs>
        <w:kinsoku/>
        <w:wordWrap/>
        <w:overflowPunct/>
        <w:topLinePunct w:val="0"/>
        <w:autoSpaceDE w:val="0"/>
        <w:autoSpaceDN w:val="0"/>
        <w:bidi w:val="0"/>
        <w:adjustRightInd w:val="0"/>
        <w:snapToGrid/>
        <w:spacing w:line="480" w:lineRule="exact"/>
        <w:ind w:left="3640" w:leftChars="1400" w:right="61" w:hanging="280" w:hangingChars="11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法定代表人或其委托代理人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签名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p>
    <w:p w14:paraId="0F0B55E9">
      <w:pPr>
        <w:keepNext w:val="0"/>
        <w:keepLines w:val="0"/>
        <w:pageBreakBefore w:val="0"/>
        <w:widowControl w:val="0"/>
        <w:kinsoku/>
        <w:wordWrap/>
        <w:overflowPunct/>
        <w:topLinePunct w:val="0"/>
        <w:bidi w:val="0"/>
        <w:snapToGrid/>
        <w:spacing w:line="480" w:lineRule="exact"/>
        <w:ind w:left="3640" w:leftChars="1400" w:hanging="280" w:hangingChars="117"/>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报价时间：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2C3CDEDE">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注：1</w:t>
      </w:r>
      <w:r>
        <w:rPr>
          <w:rFonts w:hint="eastAsia" w:ascii="仿宋" w:hAnsi="仿宋" w:eastAsia="仿宋" w:cs="仿宋"/>
          <w:b w:val="0"/>
          <w:bCs w:val="0"/>
          <w:color w:val="auto"/>
          <w:sz w:val="24"/>
          <w:szCs w:val="24"/>
          <w:highlight w:val="none"/>
          <w:lang w:val="en-US" w:eastAsia="zh-CN"/>
        </w:rPr>
        <w:t>.总价</w:t>
      </w:r>
      <w:r>
        <w:rPr>
          <w:rFonts w:hint="eastAsia" w:ascii="仿宋" w:hAnsi="仿宋" w:eastAsia="仿宋" w:cs="仿宋"/>
          <w:b w:val="0"/>
          <w:bCs w:val="0"/>
          <w:color w:val="auto"/>
          <w:sz w:val="24"/>
          <w:szCs w:val="24"/>
          <w:highlight w:val="none"/>
        </w:rPr>
        <w:t>包含运费、税金、利润等为完成本项目所有内容的</w:t>
      </w:r>
      <w:r>
        <w:rPr>
          <w:rFonts w:hint="eastAsia" w:ascii="仿宋" w:hAnsi="仿宋" w:eastAsia="仿宋" w:cs="仿宋"/>
          <w:b w:val="0"/>
          <w:bCs w:val="0"/>
          <w:color w:val="auto"/>
          <w:sz w:val="24"/>
          <w:szCs w:val="24"/>
          <w:highlight w:val="none"/>
          <w:lang w:val="en-US" w:eastAsia="zh-CN"/>
        </w:rPr>
        <w:t>一切费用</w:t>
      </w:r>
      <w:r>
        <w:rPr>
          <w:rFonts w:hint="eastAsia" w:ascii="仿宋" w:hAnsi="仿宋" w:eastAsia="仿宋" w:cs="仿宋"/>
          <w:b w:val="0"/>
          <w:bCs w:val="0"/>
          <w:color w:val="auto"/>
          <w:sz w:val="24"/>
          <w:szCs w:val="24"/>
          <w:highlight w:val="none"/>
        </w:rPr>
        <w:t>。</w:t>
      </w:r>
    </w:p>
    <w:p w14:paraId="3DEEA2D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kern w:val="2"/>
          <w:sz w:val="24"/>
          <w:szCs w:val="24"/>
          <w:highlight w:val="none"/>
          <w:lang w:val="en-US" w:eastAsia="zh-CN" w:bidi="ar-SA"/>
        </w:rPr>
        <w:t>2.</w:t>
      </w:r>
      <w:r>
        <w:rPr>
          <w:rFonts w:hint="eastAsia" w:ascii="仿宋" w:hAnsi="仿宋" w:eastAsia="仿宋" w:cs="仿宋"/>
          <w:b w:val="0"/>
          <w:bCs w:val="0"/>
          <w:color w:val="auto"/>
          <w:sz w:val="24"/>
          <w:szCs w:val="24"/>
          <w:highlight w:val="none"/>
          <w:lang w:val="en-US" w:eastAsia="zh-CN"/>
        </w:rPr>
        <w:t>本次采购</w:t>
      </w:r>
      <w:r>
        <w:rPr>
          <w:rFonts w:hint="eastAsia" w:ascii="仿宋" w:hAnsi="仿宋" w:eastAsia="仿宋" w:cs="仿宋"/>
          <w:b/>
          <w:bCs/>
          <w:color w:val="auto"/>
          <w:sz w:val="24"/>
          <w:szCs w:val="24"/>
          <w:highlight w:val="none"/>
          <w:lang w:val="en-US" w:eastAsia="zh-CN"/>
        </w:rPr>
        <w:t>无论供应商为小规模纳税人或一般纳税人，均须提供足额税率增值税专用发票，</w:t>
      </w:r>
      <w:r>
        <w:rPr>
          <w:rFonts w:hint="eastAsia" w:ascii="仿宋" w:hAnsi="仿宋" w:eastAsia="仿宋" w:cs="仿宋"/>
          <w:b w:val="0"/>
          <w:bCs w:val="0"/>
          <w:color w:val="auto"/>
          <w:sz w:val="24"/>
          <w:szCs w:val="24"/>
          <w:highlight w:val="none"/>
          <w:lang w:val="en-US" w:eastAsia="zh-CN"/>
        </w:rPr>
        <w:t>免税农产品可提供免税发票，小规模纳税人供应免税范围外【初级农产品】需提供3%征收率专票，按发票不含税金额×9%计算抵扣进项。其余产品则在不含税采购价基础上，付款时扣除因进项不足导致采购人的税负损失。</w:t>
      </w:r>
    </w:p>
    <w:p w14:paraId="08FEBF25">
      <w:pPr>
        <w:keepNext w:val="0"/>
        <w:keepLines w:val="0"/>
        <w:pageBreakBefore w:val="0"/>
        <w:widowControl w:val="0"/>
        <w:kinsoku/>
        <w:wordWrap/>
        <w:overflowPunct/>
        <w:topLinePunct w:val="0"/>
        <w:autoSpaceDE/>
        <w:autoSpaceDN/>
        <w:bidi w:val="0"/>
        <w:adjustRightInd/>
        <w:snapToGrid/>
        <w:spacing w:after="200" w:line="500" w:lineRule="exact"/>
        <w:jc w:val="center"/>
        <w:textAlignment w:val="auto"/>
        <w:outlineLvl w:val="1"/>
        <w:rPr>
          <w:rFonts w:hint="eastAsia" w:ascii="仿宋" w:hAnsi="仿宋" w:eastAsia="仿宋" w:cs="仿宋"/>
          <w:b/>
          <w:bCs/>
          <w:color w:val="auto"/>
          <w:sz w:val="32"/>
          <w:szCs w:val="32"/>
          <w:highlight w:val="none"/>
        </w:rPr>
      </w:pPr>
      <w:bookmarkStart w:id="55" w:name="_Toc13618_WPSOffice_Level1"/>
      <w:bookmarkStart w:id="56" w:name="_Toc30181"/>
      <w:bookmarkStart w:id="57" w:name="_Toc19839"/>
      <w:bookmarkStart w:id="58" w:name="_Toc18850"/>
      <w:r>
        <w:rPr>
          <w:rFonts w:hint="eastAsia" w:ascii="仿宋" w:hAnsi="仿宋" w:eastAsia="仿宋" w:cs="仿宋"/>
          <w:b/>
          <w:bCs/>
          <w:color w:val="auto"/>
          <w:sz w:val="32"/>
          <w:szCs w:val="32"/>
          <w:highlight w:val="none"/>
        </w:rPr>
        <w:t>资格审查资料</w:t>
      </w:r>
      <w:bookmarkEnd w:id="55"/>
      <w:bookmarkEnd w:id="56"/>
      <w:bookmarkEnd w:id="57"/>
      <w:bookmarkEnd w:id="58"/>
    </w:p>
    <w:p w14:paraId="4CCBBEC3">
      <w:pPr>
        <w:keepNext w:val="0"/>
        <w:keepLines w:val="0"/>
        <w:pageBreakBefore w:val="0"/>
        <w:widowControl w:val="0"/>
        <w:kinsoku/>
        <w:wordWrap/>
        <w:overflowPunct/>
        <w:topLinePunct w:val="0"/>
        <w:autoSpaceDE/>
        <w:autoSpaceDN/>
        <w:bidi w:val="0"/>
        <w:adjustRightInd/>
        <w:snapToGrid/>
        <w:spacing w:after="200" w:line="500" w:lineRule="exact"/>
        <w:jc w:val="center"/>
        <w:textAlignment w:val="auto"/>
        <w:outlineLvl w:val="1"/>
        <w:rPr>
          <w:rFonts w:hint="eastAsia" w:ascii="仿宋" w:hAnsi="仿宋" w:eastAsia="仿宋" w:cs="仿宋"/>
          <w:b/>
          <w:bCs/>
          <w:color w:val="auto"/>
          <w:sz w:val="32"/>
          <w:szCs w:val="32"/>
          <w:highlight w:val="none"/>
        </w:rPr>
      </w:pPr>
      <w:bookmarkStart w:id="59" w:name="_Toc12555"/>
      <w:bookmarkStart w:id="60" w:name="_Toc29052_WPSOffice_Level3"/>
      <w:bookmarkStart w:id="61" w:name="_Toc30669_WPSOffice_Level2"/>
      <w:bookmarkStart w:id="62" w:name="_Toc10540"/>
      <w:bookmarkStart w:id="63" w:name="_Toc25471_WPSOffice_Level2"/>
      <w:bookmarkStart w:id="64" w:name="_Toc7743_WPSOffice_Level2"/>
      <w:bookmarkStart w:id="65" w:name="_Toc23167"/>
      <w:bookmarkStart w:id="66" w:name="_Toc11766"/>
      <w:bookmarkStart w:id="67" w:name="_Toc3188"/>
      <w:bookmarkStart w:id="68" w:name="_Toc27781_WPSOffice_Level2"/>
      <w:r>
        <w:rPr>
          <w:rFonts w:hint="eastAsia" w:ascii="仿宋" w:hAnsi="仿宋" w:eastAsia="仿宋" w:cs="仿宋"/>
          <w:b/>
          <w:bCs/>
          <w:color w:val="auto"/>
          <w:sz w:val="32"/>
          <w:szCs w:val="32"/>
          <w:highlight w:val="none"/>
        </w:rPr>
        <w:t>（一）公司基本情况一览表</w:t>
      </w:r>
      <w:bookmarkEnd w:id="59"/>
      <w:bookmarkEnd w:id="60"/>
      <w:bookmarkEnd w:id="61"/>
      <w:bookmarkEnd w:id="62"/>
      <w:bookmarkEnd w:id="63"/>
      <w:bookmarkEnd w:id="64"/>
      <w:bookmarkEnd w:id="65"/>
      <w:bookmarkEnd w:id="66"/>
      <w:bookmarkEnd w:id="67"/>
      <w:bookmarkEnd w:id="68"/>
    </w:p>
    <w:tbl>
      <w:tblPr>
        <w:tblStyle w:val="23"/>
        <w:tblW w:w="4922"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951"/>
        <w:gridCol w:w="2064"/>
        <w:gridCol w:w="2231"/>
        <w:gridCol w:w="1917"/>
      </w:tblGrid>
      <w:tr w14:paraId="1D45A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4" w:hRule="atLeast"/>
        </w:trPr>
        <w:tc>
          <w:tcPr>
            <w:tcW w:w="1195" w:type="pct"/>
            <w:tcBorders>
              <w:top w:val="single" w:color="auto" w:sz="6" w:space="0"/>
              <w:left w:val="single" w:color="auto" w:sz="6" w:space="0"/>
              <w:bottom w:val="single" w:color="auto" w:sz="6" w:space="0"/>
              <w:right w:val="single" w:color="auto" w:sz="6" w:space="0"/>
            </w:tcBorders>
            <w:vAlign w:val="center"/>
          </w:tcPr>
          <w:p w14:paraId="6656E7F4">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企业名称</w:t>
            </w:r>
          </w:p>
        </w:tc>
        <w:tc>
          <w:tcPr>
            <w:tcW w:w="1264" w:type="pct"/>
            <w:tcBorders>
              <w:top w:val="single" w:color="auto" w:sz="6" w:space="0"/>
              <w:left w:val="single" w:color="auto" w:sz="6" w:space="0"/>
              <w:bottom w:val="single" w:color="auto" w:sz="6" w:space="0"/>
              <w:right w:val="single" w:color="auto" w:sz="6" w:space="0"/>
            </w:tcBorders>
            <w:vAlign w:val="center"/>
          </w:tcPr>
          <w:p w14:paraId="6AFF28B2">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1366" w:type="pct"/>
            <w:tcBorders>
              <w:top w:val="single" w:color="auto" w:sz="6" w:space="0"/>
              <w:left w:val="single" w:color="auto" w:sz="6" w:space="0"/>
              <w:bottom w:val="single" w:color="auto" w:sz="6" w:space="0"/>
              <w:right w:val="single" w:color="auto" w:sz="6" w:space="0"/>
            </w:tcBorders>
            <w:vAlign w:val="center"/>
          </w:tcPr>
          <w:p w14:paraId="4C05C4F8">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成立日期</w:t>
            </w:r>
          </w:p>
        </w:tc>
        <w:tc>
          <w:tcPr>
            <w:tcW w:w="1172" w:type="pct"/>
            <w:tcBorders>
              <w:top w:val="single" w:color="auto" w:sz="6" w:space="0"/>
              <w:left w:val="single" w:color="auto" w:sz="6" w:space="0"/>
              <w:bottom w:val="single" w:color="auto" w:sz="6" w:space="0"/>
              <w:right w:val="single" w:color="auto" w:sz="6" w:space="0"/>
            </w:tcBorders>
            <w:vAlign w:val="center"/>
          </w:tcPr>
          <w:p w14:paraId="56DEF308">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1CB16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6" w:hRule="atLeast"/>
        </w:trPr>
        <w:tc>
          <w:tcPr>
            <w:tcW w:w="1195" w:type="pct"/>
            <w:tcBorders>
              <w:top w:val="single" w:color="auto" w:sz="6" w:space="0"/>
              <w:left w:val="single" w:color="auto" w:sz="6" w:space="0"/>
              <w:bottom w:val="single" w:color="auto" w:sz="6" w:space="0"/>
              <w:right w:val="single" w:color="auto" w:sz="6" w:space="0"/>
            </w:tcBorders>
            <w:vAlign w:val="center"/>
          </w:tcPr>
          <w:p w14:paraId="52F3462C">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注册资本</w:t>
            </w:r>
          </w:p>
        </w:tc>
        <w:tc>
          <w:tcPr>
            <w:tcW w:w="1264" w:type="pct"/>
            <w:tcBorders>
              <w:top w:val="single" w:color="auto" w:sz="6" w:space="0"/>
              <w:left w:val="single" w:color="auto" w:sz="6" w:space="0"/>
              <w:bottom w:val="single" w:color="auto" w:sz="6" w:space="0"/>
              <w:right w:val="single" w:color="auto" w:sz="6" w:space="0"/>
            </w:tcBorders>
            <w:vAlign w:val="center"/>
          </w:tcPr>
          <w:p w14:paraId="36425160">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1366" w:type="pct"/>
            <w:tcBorders>
              <w:top w:val="single" w:color="auto" w:sz="6" w:space="0"/>
              <w:left w:val="single" w:color="auto" w:sz="6" w:space="0"/>
              <w:bottom w:val="single" w:color="auto" w:sz="6" w:space="0"/>
              <w:right w:val="single" w:color="auto" w:sz="6" w:space="0"/>
            </w:tcBorders>
            <w:vAlign w:val="center"/>
          </w:tcPr>
          <w:p w14:paraId="144D3579">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企业类型</w:t>
            </w:r>
          </w:p>
        </w:tc>
        <w:tc>
          <w:tcPr>
            <w:tcW w:w="1172" w:type="pct"/>
            <w:tcBorders>
              <w:top w:val="single" w:color="auto" w:sz="6" w:space="0"/>
              <w:left w:val="single" w:color="auto" w:sz="6" w:space="0"/>
              <w:bottom w:val="single" w:color="auto" w:sz="6" w:space="0"/>
              <w:right w:val="single" w:color="auto" w:sz="6" w:space="0"/>
            </w:tcBorders>
            <w:vAlign w:val="center"/>
          </w:tcPr>
          <w:p w14:paraId="08B7F772">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1457C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25" w:hRule="atLeast"/>
        </w:trPr>
        <w:tc>
          <w:tcPr>
            <w:tcW w:w="1195" w:type="pct"/>
            <w:tcBorders>
              <w:top w:val="single" w:color="auto" w:sz="6" w:space="0"/>
              <w:left w:val="single" w:color="auto" w:sz="6" w:space="0"/>
              <w:bottom w:val="single" w:color="auto" w:sz="6" w:space="0"/>
              <w:right w:val="single" w:color="auto" w:sz="6" w:space="0"/>
            </w:tcBorders>
            <w:vAlign w:val="center"/>
          </w:tcPr>
          <w:p w14:paraId="29DB1268">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批准登记机关</w:t>
            </w:r>
          </w:p>
        </w:tc>
        <w:tc>
          <w:tcPr>
            <w:tcW w:w="1264" w:type="pct"/>
            <w:tcBorders>
              <w:top w:val="single" w:color="auto" w:sz="6" w:space="0"/>
              <w:left w:val="single" w:color="auto" w:sz="6" w:space="0"/>
              <w:bottom w:val="single" w:color="auto" w:sz="6" w:space="0"/>
              <w:right w:val="single" w:color="auto" w:sz="6" w:space="0"/>
            </w:tcBorders>
            <w:vAlign w:val="center"/>
          </w:tcPr>
          <w:p w14:paraId="3CB6D1FC">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1366" w:type="pct"/>
            <w:tcBorders>
              <w:top w:val="single" w:color="auto" w:sz="6" w:space="0"/>
              <w:left w:val="single" w:color="auto" w:sz="6" w:space="0"/>
              <w:bottom w:val="single" w:color="auto" w:sz="6" w:space="0"/>
              <w:right w:val="single" w:color="auto" w:sz="6" w:space="0"/>
            </w:tcBorders>
            <w:vAlign w:val="center"/>
          </w:tcPr>
          <w:p w14:paraId="5605B5F7">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lang w:eastAsia="zh-CN"/>
              </w:rPr>
            </w:pPr>
            <w:r>
              <w:rPr>
                <w:rFonts w:hint="eastAsia" w:ascii="仿宋" w:hAnsi="仿宋" w:eastAsia="仿宋" w:cs="仿宋"/>
                <w:color w:val="auto"/>
                <w:sz w:val="24"/>
                <w:szCs w:val="24"/>
                <w:highlight w:val="none"/>
                <w:u w:val="none"/>
                <w:lang w:val="en-US" w:eastAsia="zh-CN"/>
              </w:rPr>
              <w:t>统一社会信用代码</w:t>
            </w:r>
          </w:p>
        </w:tc>
        <w:tc>
          <w:tcPr>
            <w:tcW w:w="1172" w:type="pct"/>
            <w:tcBorders>
              <w:top w:val="single" w:color="auto" w:sz="6" w:space="0"/>
              <w:left w:val="single" w:color="auto" w:sz="6" w:space="0"/>
              <w:bottom w:val="single" w:color="auto" w:sz="6" w:space="0"/>
              <w:right w:val="single" w:color="auto" w:sz="6" w:space="0"/>
            </w:tcBorders>
            <w:vAlign w:val="center"/>
          </w:tcPr>
          <w:p w14:paraId="6DDFB6CF">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0EB6C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4" w:hRule="atLeast"/>
        </w:trPr>
        <w:tc>
          <w:tcPr>
            <w:tcW w:w="1195" w:type="pct"/>
            <w:tcBorders>
              <w:top w:val="single" w:color="auto" w:sz="6" w:space="0"/>
              <w:left w:val="single" w:color="auto" w:sz="6" w:space="0"/>
              <w:bottom w:val="single" w:color="auto" w:sz="6" w:space="0"/>
              <w:right w:val="single" w:color="auto" w:sz="6" w:space="0"/>
            </w:tcBorders>
            <w:vAlign w:val="center"/>
          </w:tcPr>
          <w:p w14:paraId="75E98616">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法定代表人</w:t>
            </w:r>
          </w:p>
        </w:tc>
        <w:tc>
          <w:tcPr>
            <w:tcW w:w="1264" w:type="pct"/>
            <w:tcBorders>
              <w:top w:val="single" w:color="auto" w:sz="6" w:space="0"/>
              <w:left w:val="single" w:color="auto" w:sz="6" w:space="0"/>
              <w:bottom w:val="single" w:color="auto" w:sz="6" w:space="0"/>
              <w:right w:val="single" w:color="auto" w:sz="6" w:space="0"/>
            </w:tcBorders>
            <w:vAlign w:val="center"/>
          </w:tcPr>
          <w:p w14:paraId="76B3D542">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1366" w:type="pct"/>
            <w:tcBorders>
              <w:top w:val="single" w:color="auto" w:sz="6" w:space="0"/>
              <w:left w:val="single" w:color="auto" w:sz="6" w:space="0"/>
              <w:bottom w:val="single" w:color="auto" w:sz="6" w:space="0"/>
              <w:right w:val="single" w:color="auto" w:sz="6" w:space="0"/>
            </w:tcBorders>
            <w:vAlign w:val="center"/>
          </w:tcPr>
          <w:p w14:paraId="026D563F">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营业期限</w:t>
            </w:r>
          </w:p>
        </w:tc>
        <w:tc>
          <w:tcPr>
            <w:tcW w:w="1172" w:type="pct"/>
            <w:tcBorders>
              <w:top w:val="single" w:color="auto" w:sz="6" w:space="0"/>
              <w:left w:val="single" w:color="auto" w:sz="6" w:space="0"/>
              <w:bottom w:val="single" w:color="auto" w:sz="6" w:space="0"/>
              <w:right w:val="single" w:color="auto" w:sz="6" w:space="0"/>
            </w:tcBorders>
            <w:vAlign w:val="center"/>
          </w:tcPr>
          <w:p w14:paraId="6649AD92">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46392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6" w:hRule="atLeast"/>
        </w:trPr>
        <w:tc>
          <w:tcPr>
            <w:tcW w:w="1195" w:type="pct"/>
            <w:tcBorders>
              <w:top w:val="single" w:color="auto" w:sz="6" w:space="0"/>
              <w:left w:val="single" w:color="auto" w:sz="6" w:space="0"/>
              <w:bottom w:val="single" w:color="auto" w:sz="6" w:space="0"/>
              <w:right w:val="single" w:color="auto" w:sz="6" w:space="0"/>
            </w:tcBorders>
            <w:vAlign w:val="center"/>
          </w:tcPr>
          <w:p w14:paraId="0F426A0A">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资质类型</w:t>
            </w:r>
          </w:p>
        </w:tc>
        <w:tc>
          <w:tcPr>
            <w:tcW w:w="1264" w:type="pct"/>
            <w:tcBorders>
              <w:top w:val="single" w:color="auto" w:sz="6" w:space="0"/>
              <w:left w:val="single" w:color="auto" w:sz="6" w:space="0"/>
              <w:bottom w:val="single" w:color="auto" w:sz="6" w:space="0"/>
              <w:right w:val="single" w:color="auto" w:sz="6" w:space="0"/>
            </w:tcBorders>
            <w:vAlign w:val="center"/>
          </w:tcPr>
          <w:p w14:paraId="3E87F213">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1366" w:type="pct"/>
            <w:tcBorders>
              <w:top w:val="single" w:color="auto" w:sz="6" w:space="0"/>
              <w:left w:val="single" w:color="auto" w:sz="6" w:space="0"/>
              <w:bottom w:val="single" w:color="auto" w:sz="6" w:space="0"/>
              <w:right w:val="single" w:color="auto" w:sz="6" w:space="0"/>
            </w:tcBorders>
            <w:vAlign w:val="center"/>
          </w:tcPr>
          <w:p w14:paraId="30095432">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资质等级</w:t>
            </w:r>
          </w:p>
        </w:tc>
        <w:tc>
          <w:tcPr>
            <w:tcW w:w="1172" w:type="pct"/>
            <w:tcBorders>
              <w:top w:val="single" w:color="auto" w:sz="6" w:space="0"/>
              <w:left w:val="single" w:color="auto" w:sz="6" w:space="0"/>
              <w:bottom w:val="single" w:color="auto" w:sz="6" w:space="0"/>
              <w:right w:val="single" w:color="auto" w:sz="6" w:space="0"/>
            </w:tcBorders>
            <w:vAlign w:val="center"/>
          </w:tcPr>
          <w:p w14:paraId="286F45E6">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6DFA4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64" w:hRule="atLeast"/>
        </w:trPr>
        <w:tc>
          <w:tcPr>
            <w:tcW w:w="1195" w:type="pct"/>
            <w:tcBorders>
              <w:top w:val="single" w:color="auto" w:sz="6" w:space="0"/>
              <w:left w:val="single" w:color="auto" w:sz="6" w:space="0"/>
              <w:bottom w:val="single" w:color="auto" w:sz="6" w:space="0"/>
              <w:right w:val="single" w:color="auto" w:sz="6" w:space="0"/>
            </w:tcBorders>
            <w:vAlign w:val="center"/>
          </w:tcPr>
          <w:p w14:paraId="62DD5684">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主营业务</w:t>
            </w:r>
          </w:p>
        </w:tc>
        <w:tc>
          <w:tcPr>
            <w:tcW w:w="3804" w:type="pct"/>
            <w:gridSpan w:val="3"/>
            <w:tcBorders>
              <w:top w:val="single" w:color="auto" w:sz="6" w:space="0"/>
              <w:left w:val="single" w:color="auto" w:sz="6" w:space="0"/>
              <w:bottom w:val="single" w:color="auto" w:sz="6" w:space="0"/>
              <w:right w:val="single" w:color="auto" w:sz="6" w:space="0"/>
            </w:tcBorders>
            <w:vAlign w:val="center"/>
          </w:tcPr>
          <w:p w14:paraId="47B563A6">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5886D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6" w:hRule="atLeast"/>
        </w:trPr>
        <w:tc>
          <w:tcPr>
            <w:tcW w:w="1195" w:type="pct"/>
            <w:tcBorders>
              <w:top w:val="single" w:color="auto" w:sz="6" w:space="0"/>
              <w:left w:val="single" w:color="auto" w:sz="6" w:space="0"/>
              <w:bottom w:val="single" w:color="auto" w:sz="6" w:space="0"/>
              <w:right w:val="single" w:color="auto" w:sz="6" w:space="0"/>
            </w:tcBorders>
            <w:vAlign w:val="center"/>
          </w:tcPr>
          <w:p w14:paraId="5CB17AD8">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地址</w:t>
            </w:r>
          </w:p>
        </w:tc>
        <w:tc>
          <w:tcPr>
            <w:tcW w:w="3804" w:type="pct"/>
            <w:gridSpan w:val="3"/>
            <w:tcBorders>
              <w:top w:val="single" w:color="auto" w:sz="6" w:space="0"/>
              <w:left w:val="single" w:color="auto" w:sz="6" w:space="0"/>
              <w:bottom w:val="single" w:color="auto" w:sz="6" w:space="0"/>
              <w:right w:val="single" w:color="auto" w:sz="6" w:space="0"/>
            </w:tcBorders>
            <w:vAlign w:val="center"/>
          </w:tcPr>
          <w:p w14:paraId="113A004F">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0AFC5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6" w:hRule="atLeast"/>
        </w:trPr>
        <w:tc>
          <w:tcPr>
            <w:tcW w:w="1195" w:type="pct"/>
            <w:tcBorders>
              <w:top w:val="single" w:color="auto" w:sz="6" w:space="0"/>
              <w:left w:val="single" w:color="auto" w:sz="6" w:space="0"/>
              <w:bottom w:val="single" w:color="auto" w:sz="6" w:space="0"/>
              <w:right w:val="single" w:color="auto" w:sz="6" w:space="0"/>
            </w:tcBorders>
            <w:vAlign w:val="center"/>
          </w:tcPr>
          <w:p w14:paraId="0B33F44E">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开户银行</w:t>
            </w:r>
          </w:p>
        </w:tc>
        <w:tc>
          <w:tcPr>
            <w:tcW w:w="3804" w:type="pct"/>
            <w:gridSpan w:val="3"/>
            <w:tcBorders>
              <w:top w:val="single" w:color="auto" w:sz="6" w:space="0"/>
              <w:left w:val="single" w:color="auto" w:sz="6" w:space="0"/>
              <w:bottom w:val="single" w:color="auto" w:sz="6" w:space="0"/>
              <w:right w:val="single" w:color="auto" w:sz="6" w:space="0"/>
            </w:tcBorders>
            <w:vAlign w:val="center"/>
          </w:tcPr>
          <w:p w14:paraId="555CDACA">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70AFD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4" w:hRule="atLeast"/>
        </w:trPr>
        <w:tc>
          <w:tcPr>
            <w:tcW w:w="1195" w:type="pct"/>
            <w:tcBorders>
              <w:top w:val="single" w:color="auto" w:sz="6" w:space="0"/>
              <w:left w:val="single" w:color="auto" w:sz="6" w:space="0"/>
              <w:bottom w:val="single" w:color="auto" w:sz="6" w:space="0"/>
              <w:right w:val="single" w:color="auto" w:sz="6" w:space="0"/>
            </w:tcBorders>
            <w:vAlign w:val="center"/>
          </w:tcPr>
          <w:p w14:paraId="5D9403A6">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开户行号</w:t>
            </w:r>
          </w:p>
        </w:tc>
        <w:tc>
          <w:tcPr>
            <w:tcW w:w="3804" w:type="pct"/>
            <w:gridSpan w:val="3"/>
            <w:tcBorders>
              <w:top w:val="single" w:color="auto" w:sz="6" w:space="0"/>
              <w:left w:val="single" w:color="auto" w:sz="6" w:space="0"/>
              <w:bottom w:val="single" w:color="auto" w:sz="6" w:space="0"/>
              <w:right w:val="single" w:color="auto" w:sz="6" w:space="0"/>
            </w:tcBorders>
            <w:vAlign w:val="center"/>
          </w:tcPr>
          <w:p w14:paraId="737BDECB">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167DA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6" w:hRule="atLeast"/>
        </w:trPr>
        <w:tc>
          <w:tcPr>
            <w:tcW w:w="1195" w:type="pct"/>
            <w:tcBorders>
              <w:top w:val="single" w:color="auto" w:sz="6" w:space="0"/>
              <w:left w:val="single" w:color="auto" w:sz="6" w:space="0"/>
              <w:bottom w:val="single" w:color="auto" w:sz="6" w:space="0"/>
              <w:right w:val="single" w:color="auto" w:sz="6" w:space="0"/>
            </w:tcBorders>
            <w:vAlign w:val="center"/>
          </w:tcPr>
          <w:p w14:paraId="7A8AE276">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银行账号</w:t>
            </w:r>
          </w:p>
        </w:tc>
        <w:tc>
          <w:tcPr>
            <w:tcW w:w="3804" w:type="pct"/>
            <w:gridSpan w:val="3"/>
            <w:tcBorders>
              <w:top w:val="single" w:color="auto" w:sz="6" w:space="0"/>
              <w:left w:val="single" w:color="auto" w:sz="6" w:space="0"/>
              <w:bottom w:val="single" w:color="auto" w:sz="6" w:space="0"/>
              <w:right w:val="single" w:color="auto" w:sz="6" w:space="0"/>
            </w:tcBorders>
            <w:vAlign w:val="center"/>
          </w:tcPr>
          <w:p w14:paraId="5F8CC7F8">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3D8F3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71" w:hRule="atLeast"/>
        </w:trPr>
        <w:tc>
          <w:tcPr>
            <w:tcW w:w="1195" w:type="pct"/>
            <w:tcBorders>
              <w:top w:val="single" w:color="auto" w:sz="6" w:space="0"/>
              <w:left w:val="single" w:color="auto" w:sz="6" w:space="0"/>
              <w:bottom w:val="single" w:color="auto" w:sz="6" w:space="0"/>
              <w:right w:val="single" w:color="auto" w:sz="6" w:space="0"/>
            </w:tcBorders>
            <w:vAlign w:val="center"/>
          </w:tcPr>
          <w:p w14:paraId="43228DE1">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lang w:val="en-US" w:eastAsia="zh-CN"/>
              </w:rPr>
              <w:t>公司</w:t>
            </w:r>
            <w:r>
              <w:rPr>
                <w:rFonts w:hint="eastAsia" w:ascii="仿宋" w:hAnsi="仿宋" w:eastAsia="仿宋" w:cs="仿宋"/>
                <w:color w:val="auto"/>
                <w:sz w:val="24"/>
                <w:szCs w:val="24"/>
                <w:highlight w:val="none"/>
                <w:u w:val="none"/>
              </w:rPr>
              <w:t>电话</w:t>
            </w:r>
          </w:p>
        </w:tc>
        <w:tc>
          <w:tcPr>
            <w:tcW w:w="1264" w:type="pct"/>
            <w:tcBorders>
              <w:top w:val="single" w:color="auto" w:sz="6" w:space="0"/>
              <w:left w:val="single" w:color="auto" w:sz="6" w:space="0"/>
              <w:bottom w:val="single" w:color="auto" w:sz="6" w:space="0"/>
              <w:right w:val="single" w:color="auto" w:sz="6" w:space="0"/>
            </w:tcBorders>
            <w:vAlign w:val="center"/>
          </w:tcPr>
          <w:p w14:paraId="2960EFA7">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1366" w:type="pct"/>
            <w:tcBorders>
              <w:top w:val="single" w:color="auto" w:sz="6" w:space="0"/>
              <w:left w:val="single" w:color="auto" w:sz="6" w:space="0"/>
              <w:bottom w:val="single" w:color="auto" w:sz="6" w:space="0"/>
              <w:right w:val="single" w:color="auto" w:sz="6" w:space="0"/>
            </w:tcBorders>
            <w:vAlign w:val="center"/>
          </w:tcPr>
          <w:p w14:paraId="0E0EF4E3">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传真</w:t>
            </w:r>
          </w:p>
        </w:tc>
        <w:tc>
          <w:tcPr>
            <w:tcW w:w="1172" w:type="pct"/>
            <w:tcBorders>
              <w:top w:val="single" w:color="auto" w:sz="6" w:space="0"/>
              <w:left w:val="single" w:color="auto" w:sz="6" w:space="0"/>
              <w:bottom w:val="single" w:color="auto" w:sz="6" w:space="0"/>
              <w:right w:val="single" w:color="auto" w:sz="6" w:space="0"/>
            </w:tcBorders>
            <w:vAlign w:val="center"/>
          </w:tcPr>
          <w:p w14:paraId="338F883E">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3A252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71" w:hRule="atLeast"/>
        </w:trPr>
        <w:tc>
          <w:tcPr>
            <w:tcW w:w="1195" w:type="pct"/>
            <w:tcBorders>
              <w:top w:val="single" w:color="auto" w:sz="6" w:space="0"/>
              <w:left w:val="single" w:color="auto" w:sz="6" w:space="0"/>
              <w:bottom w:val="single" w:color="auto" w:sz="6" w:space="0"/>
              <w:right w:val="single" w:color="auto" w:sz="6" w:space="0"/>
            </w:tcBorders>
            <w:vAlign w:val="center"/>
          </w:tcPr>
          <w:p w14:paraId="02AD8201">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lang w:val="en-US" w:eastAsia="zh-CN"/>
              </w:rPr>
              <w:t>电子</w:t>
            </w:r>
            <w:r>
              <w:rPr>
                <w:rFonts w:hint="eastAsia" w:ascii="仿宋" w:hAnsi="仿宋" w:eastAsia="仿宋" w:cs="仿宋"/>
                <w:color w:val="auto"/>
                <w:sz w:val="24"/>
                <w:szCs w:val="24"/>
                <w:highlight w:val="none"/>
                <w:u w:val="none"/>
              </w:rPr>
              <w:t>邮箱</w:t>
            </w:r>
          </w:p>
        </w:tc>
        <w:tc>
          <w:tcPr>
            <w:tcW w:w="1264" w:type="pct"/>
            <w:tcBorders>
              <w:top w:val="single" w:color="auto" w:sz="6" w:space="0"/>
              <w:left w:val="single" w:color="auto" w:sz="6" w:space="0"/>
              <w:bottom w:val="single" w:color="auto" w:sz="6" w:space="0"/>
              <w:right w:val="single" w:color="auto" w:sz="6" w:space="0"/>
            </w:tcBorders>
            <w:vAlign w:val="center"/>
          </w:tcPr>
          <w:p w14:paraId="3655282B">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1366" w:type="pct"/>
            <w:tcBorders>
              <w:top w:val="single" w:color="auto" w:sz="6" w:space="0"/>
              <w:left w:val="single" w:color="auto" w:sz="6" w:space="0"/>
              <w:bottom w:val="single" w:color="auto" w:sz="6" w:space="0"/>
              <w:right w:val="single" w:color="auto" w:sz="6" w:space="0"/>
            </w:tcBorders>
            <w:vAlign w:val="center"/>
          </w:tcPr>
          <w:p w14:paraId="12C87597">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邮编</w:t>
            </w:r>
          </w:p>
        </w:tc>
        <w:tc>
          <w:tcPr>
            <w:tcW w:w="1172" w:type="pct"/>
            <w:tcBorders>
              <w:top w:val="single" w:color="auto" w:sz="6" w:space="0"/>
              <w:left w:val="single" w:color="auto" w:sz="6" w:space="0"/>
              <w:bottom w:val="single" w:color="auto" w:sz="6" w:space="0"/>
              <w:right w:val="single" w:color="auto" w:sz="6" w:space="0"/>
            </w:tcBorders>
            <w:vAlign w:val="center"/>
          </w:tcPr>
          <w:p w14:paraId="71A46DFA">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0CB68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28" w:hRule="atLeast"/>
        </w:trPr>
        <w:tc>
          <w:tcPr>
            <w:tcW w:w="1195" w:type="pct"/>
            <w:tcBorders>
              <w:top w:val="single" w:color="auto" w:sz="6" w:space="0"/>
              <w:left w:val="single" w:color="auto" w:sz="6" w:space="0"/>
              <w:bottom w:val="single" w:color="auto" w:sz="6" w:space="0"/>
              <w:right w:val="single" w:color="auto" w:sz="6" w:space="0"/>
            </w:tcBorders>
            <w:vAlign w:val="center"/>
          </w:tcPr>
          <w:p w14:paraId="0B7B01BE">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联系人</w:t>
            </w:r>
          </w:p>
        </w:tc>
        <w:tc>
          <w:tcPr>
            <w:tcW w:w="1264" w:type="pct"/>
            <w:tcBorders>
              <w:top w:val="single" w:color="auto" w:sz="6" w:space="0"/>
              <w:left w:val="single" w:color="auto" w:sz="6" w:space="0"/>
              <w:bottom w:val="single" w:color="auto" w:sz="6" w:space="0"/>
              <w:right w:val="single" w:color="auto" w:sz="6" w:space="0"/>
            </w:tcBorders>
            <w:vAlign w:val="center"/>
          </w:tcPr>
          <w:p w14:paraId="13D57AE5">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1366" w:type="pct"/>
            <w:tcBorders>
              <w:top w:val="single" w:color="auto" w:sz="6" w:space="0"/>
              <w:left w:val="single" w:color="auto" w:sz="6" w:space="0"/>
              <w:bottom w:val="single" w:color="auto" w:sz="6" w:space="0"/>
              <w:right w:val="single" w:color="auto" w:sz="6" w:space="0"/>
            </w:tcBorders>
            <w:vAlign w:val="center"/>
          </w:tcPr>
          <w:p w14:paraId="60D4D68F">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联系方式</w:t>
            </w:r>
          </w:p>
        </w:tc>
        <w:tc>
          <w:tcPr>
            <w:tcW w:w="1172" w:type="pct"/>
            <w:tcBorders>
              <w:top w:val="single" w:color="auto" w:sz="6" w:space="0"/>
              <w:left w:val="single" w:color="auto" w:sz="6" w:space="0"/>
              <w:bottom w:val="single" w:color="auto" w:sz="6" w:space="0"/>
              <w:right w:val="single" w:color="auto" w:sz="6" w:space="0"/>
            </w:tcBorders>
            <w:vAlign w:val="center"/>
          </w:tcPr>
          <w:p w14:paraId="37E2E98F">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bl>
    <w:p w14:paraId="53D1942A">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eastAsia" w:ascii="仿宋" w:hAnsi="仿宋" w:eastAsia="仿宋" w:cs="仿宋"/>
          <w:b/>
          <w:bCs/>
          <w:color w:val="auto"/>
          <w:sz w:val="28"/>
          <w:szCs w:val="28"/>
          <w:highlight w:val="none"/>
          <w:lang w:val="en-US" w:eastAsia="zh-CN"/>
        </w:rPr>
      </w:pPr>
      <w:bookmarkStart w:id="69" w:name="_Toc13231"/>
      <w:bookmarkStart w:id="70" w:name="_Toc886_WPSOffice_Level2"/>
      <w:bookmarkStart w:id="71" w:name="_Toc32658"/>
      <w:bookmarkStart w:id="72" w:name="_Toc16007_WPSOffice_Level2"/>
      <w:bookmarkStart w:id="73" w:name="_Toc19438_WPSOffice_Level2"/>
      <w:bookmarkStart w:id="74" w:name="_Toc9084_WPSOffice_Level2"/>
      <w:bookmarkStart w:id="75" w:name="_Toc4655"/>
      <w:bookmarkStart w:id="76" w:name="_Toc15100_WPSOffice_Level2"/>
      <w:bookmarkStart w:id="77" w:name="_Toc1797"/>
      <w:bookmarkStart w:id="78" w:name="_Toc30597"/>
      <w:bookmarkStart w:id="79" w:name="_Toc1852"/>
      <w:bookmarkStart w:id="80" w:name="_Toc26908"/>
      <w:bookmarkStart w:id="81" w:name="_Toc9797_WPSOffice_Level2"/>
    </w:p>
    <w:p w14:paraId="7E9BD239">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提供</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营业执照</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食品经营许可证》</w:t>
      </w:r>
      <w:r>
        <w:rPr>
          <w:rFonts w:hint="eastAsia" w:ascii="仿宋" w:hAnsi="仿宋" w:eastAsia="仿宋" w:cs="仿宋"/>
          <w:b/>
          <w:bCs/>
          <w:color w:val="auto"/>
          <w:sz w:val="28"/>
          <w:szCs w:val="28"/>
          <w:highlight w:val="none"/>
          <w:lang w:val="en-US" w:eastAsia="zh-CN"/>
        </w:rPr>
        <w:t>及法人身份证复印件</w:t>
      </w: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lang w:val="en-US" w:eastAsia="zh-CN"/>
        </w:rPr>
        <w:t>且</w:t>
      </w:r>
      <w:r>
        <w:rPr>
          <w:rFonts w:hint="eastAsia" w:ascii="仿宋" w:hAnsi="仿宋" w:eastAsia="仿宋" w:cs="仿宋"/>
          <w:b/>
          <w:bCs/>
          <w:color w:val="auto"/>
          <w:sz w:val="28"/>
          <w:szCs w:val="28"/>
          <w:highlight w:val="none"/>
        </w:rPr>
        <w:t>经营项目包含本次采购的全部食材品类</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lang w:val="en-US" w:eastAsia="zh-CN"/>
        </w:rPr>
        <w:t>以上资料需加盖公章。（注</w:t>
      </w: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lang w:val="en-US" w:eastAsia="zh-CN"/>
        </w:rPr>
        <w:t>提供的证件</w:t>
      </w:r>
      <w:r>
        <w:rPr>
          <w:rFonts w:hint="eastAsia" w:ascii="仿宋" w:hAnsi="仿宋" w:eastAsia="仿宋" w:cs="仿宋"/>
          <w:b/>
          <w:bCs/>
          <w:color w:val="auto"/>
          <w:sz w:val="28"/>
          <w:szCs w:val="28"/>
          <w:highlight w:val="none"/>
        </w:rPr>
        <w:t>复印件</w:t>
      </w:r>
      <w:r>
        <w:rPr>
          <w:rFonts w:hint="eastAsia" w:ascii="仿宋" w:hAnsi="仿宋" w:eastAsia="仿宋" w:cs="仿宋"/>
          <w:b/>
          <w:bCs/>
          <w:color w:val="auto"/>
          <w:sz w:val="28"/>
          <w:szCs w:val="28"/>
          <w:highlight w:val="none"/>
          <w:lang w:val="en-US" w:eastAsia="zh-CN"/>
        </w:rPr>
        <w:t>清晰完整，法人身份证复印件需正反面。）</w:t>
      </w:r>
    </w:p>
    <w:p w14:paraId="025F6CF0">
      <w:pPr>
        <w:jc w:val="center"/>
        <w:rPr>
          <w:rFonts w:hint="eastAsia" w:ascii="仿宋" w:hAnsi="仿宋" w:eastAsia="仿宋" w:cs="仿宋"/>
          <w:b/>
          <w:bCs/>
          <w:color w:val="auto"/>
          <w:sz w:val="32"/>
          <w:szCs w:val="32"/>
          <w:highlight w:val="none"/>
        </w:rPr>
      </w:pPr>
      <w:r>
        <w:rPr>
          <w:rFonts w:hint="eastAsia" w:ascii="仿宋" w:hAnsi="仿宋" w:eastAsia="仿宋" w:cs="仿宋"/>
          <w:b/>
          <w:color w:val="auto"/>
          <w:sz w:val="24"/>
          <w:szCs w:val="24"/>
          <w:highlight w:val="none"/>
          <w:lang w:val="en-US" w:eastAsia="zh-CN"/>
        </w:rPr>
        <w:br w:type="page"/>
      </w:r>
      <w:r>
        <w:rPr>
          <w:rFonts w:hint="eastAsia" w:ascii="仿宋" w:hAnsi="仿宋" w:eastAsia="仿宋" w:cs="仿宋"/>
          <w:b/>
          <w:bCs/>
          <w:color w:val="auto"/>
          <w:sz w:val="32"/>
          <w:szCs w:val="32"/>
          <w:highlight w:val="none"/>
        </w:rPr>
        <w:t>（二）企业业绩情况</w:t>
      </w:r>
      <w:bookmarkEnd w:id="69"/>
      <w:bookmarkEnd w:id="70"/>
      <w:bookmarkEnd w:id="71"/>
      <w:bookmarkEnd w:id="72"/>
      <w:bookmarkEnd w:id="73"/>
      <w:bookmarkEnd w:id="74"/>
      <w:bookmarkEnd w:id="75"/>
      <w:bookmarkEnd w:id="76"/>
      <w:bookmarkEnd w:id="77"/>
      <w:bookmarkEnd w:id="78"/>
      <w:bookmarkEnd w:id="79"/>
      <w:bookmarkEnd w:id="80"/>
      <w:bookmarkEnd w:id="81"/>
    </w:p>
    <w:tbl>
      <w:tblPr>
        <w:tblStyle w:val="2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051"/>
        <w:gridCol w:w="1180"/>
        <w:gridCol w:w="1180"/>
        <w:gridCol w:w="2144"/>
        <w:gridCol w:w="2533"/>
      </w:tblGrid>
      <w:tr w14:paraId="0B03D1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5" w:hRule="atLeast"/>
          <w:jc w:val="center"/>
        </w:trPr>
        <w:tc>
          <w:tcPr>
            <w:tcW w:w="1051" w:type="dxa"/>
            <w:tcBorders>
              <w:top w:val="single" w:color="auto" w:sz="4" w:space="0"/>
              <w:left w:val="single" w:color="auto" w:sz="4" w:space="0"/>
              <w:bottom w:val="single" w:color="auto" w:sz="4" w:space="0"/>
              <w:right w:val="single" w:color="auto" w:sz="4" w:space="0"/>
            </w:tcBorders>
            <w:vAlign w:val="center"/>
          </w:tcPr>
          <w:p w14:paraId="7C024435">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序号</w:t>
            </w:r>
          </w:p>
        </w:tc>
        <w:tc>
          <w:tcPr>
            <w:tcW w:w="0" w:type="auto"/>
            <w:tcBorders>
              <w:top w:val="single" w:color="auto" w:sz="4" w:space="0"/>
              <w:left w:val="single" w:color="auto" w:sz="4" w:space="0"/>
              <w:bottom w:val="single" w:color="auto" w:sz="4" w:space="0"/>
              <w:right w:val="single" w:color="auto" w:sz="4" w:space="0"/>
            </w:tcBorders>
            <w:vAlign w:val="center"/>
          </w:tcPr>
          <w:p w14:paraId="3F8897B3">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项目类型</w:t>
            </w:r>
          </w:p>
        </w:tc>
        <w:tc>
          <w:tcPr>
            <w:tcW w:w="0" w:type="auto"/>
            <w:tcBorders>
              <w:top w:val="single" w:color="auto" w:sz="4" w:space="0"/>
              <w:left w:val="single" w:color="auto" w:sz="4" w:space="0"/>
              <w:bottom w:val="single" w:color="auto" w:sz="4" w:space="0"/>
              <w:right w:val="single" w:color="auto" w:sz="4" w:space="0"/>
            </w:tcBorders>
            <w:vAlign w:val="center"/>
          </w:tcPr>
          <w:p w14:paraId="55C5ECDD">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项目名称</w:t>
            </w:r>
          </w:p>
        </w:tc>
        <w:tc>
          <w:tcPr>
            <w:tcW w:w="0" w:type="auto"/>
            <w:tcBorders>
              <w:top w:val="single" w:color="auto" w:sz="4" w:space="0"/>
              <w:left w:val="single" w:color="auto" w:sz="4" w:space="0"/>
              <w:bottom w:val="single" w:color="auto" w:sz="4" w:space="0"/>
              <w:right w:val="single" w:color="auto" w:sz="4" w:space="0"/>
            </w:tcBorders>
            <w:vAlign w:val="center"/>
          </w:tcPr>
          <w:p w14:paraId="06C68F22">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b/>
                <w:color w:val="auto"/>
                <w:sz w:val="24"/>
                <w:szCs w:val="24"/>
                <w:highlight w:val="none"/>
                <w:u w:val="none"/>
              </w:rPr>
              <w:t>项目规模（万元）</w:t>
            </w:r>
          </w:p>
        </w:tc>
        <w:tc>
          <w:tcPr>
            <w:tcW w:w="2533" w:type="dxa"/>
            <w:tcBorders>
              <w:top w:val="single" w:color="auto" w:sz="4" w:space="0"/>
              <w:left w:val="single" w:color="auto" w:sz="4" w:space="0"/>
              <w:bottom w:val="single" w:color="auto" w:sz="4" w:space="0"/>
              <w:right w:val="single" w:color="auto" w:sz="4" w:space="0"/>
            </w:tcBorders>
            <w:vAlign w:val="center"/>
          </w:tcPr>
          <w:p w14:paraId="65A8B004">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b/>
                <w:color w:val="auto"/>
                <w:sz w:val="24"/>
                <w:szCs w:val="24"/>
                <w:highlight w:val="none"/>
                <w:u w:val="none"/>
              </w:rPr>
            </w:pPr>
            <w:r>
              <w:rPr>
                <w:rFonts w:hint="eastAsia" w:ascii="仿宋" w:hAnsi="仿宋" w:eastAsia="仿宋" w:cs="仿宋"/>
                <w:b/>
                <w:color w:val="auto"/>
                <w:sz w:val="24"/>
                <w:szCs w:val="24"/>
                <w:highlight w:val="none"/>
                <w:u w:val="none"/>
              </w:rPr>
              <w:t>内容及合同起止时间</w:t>
            </w:r>
          </w:p>
        </w:tc>
      </w:tr>
      <w:tr w14:paraId="780888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5" w:hRule="atLeast"/>
          <w:jc w:val="center"/>
        </w:trPr>
        <w:tc>
          <w:tcPr>
            <w:tcW w:w="1051" w:type="dxa"/>
            <w:tcBorders>
              <w:top w:val="single" w:color="auto" w:sz="4" w:space="0"/>
              <w:left w:val="single" w:color="auto" w:sz="4" w:space="0"/>
              <w:bottom w:val="single" w:color="auto" w:sz="4" w:space="0"/>
              <w:right w:val="single" w:color="auto" w:sz="4" w:space="0"/>
            </w:tcBorders>
            <w:vAlign w:val="center"/>
          </w:tcPr>
          <w:p w14:paraId="76BA490E">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1</w:t>
            </w:r>
          </w:p>
        </w:tc>
        <w:tc>
          <w:tcPr>
            <w:tcW w:w="0" w:type="auto"/>
            <w:tcBorders>
              <w:top w:val="single" w:color="auto" w:sz="4" w:space="0"/>
              <w:left w:val="single" w:color="auto" w:sz="4" w:space="0"/>
              <w:bottom w:val="single" w:color="auto" w:sz="4" w:space="0"/>
              <w:right w:val="single" w:color="auto" w:sz="4" w:space="0"/>
            </w:tcBorders>
            <w:vAlign w:val="center"/>
          </w:tcPr>
          <w:p w14:paraId="1BEAD0D9">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EE19935">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C558647">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2533" w:type="dxa"/>
            <w:tcBorders>
              <w:top w:val="single" w:color="auto" w:sz="4" w:space="0"/>
              <w:left w:val="single" w:color="auto" w:sz="4" w:space="0"/>
              <w:bottom w:val="single" w:color="auto" w:sz="4" w:space="0"/>
              <w:right w:val="single" w:color="auto" w:sz="4" w:space="0"/>
            </w:tcBorders>
            <w:vAlign w:val="center"/>
          </w:tcPr>
          <w:p w14:paraId="1F9BCD48">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76E9B9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5" w:hRule="atLeast"/>
          <w:jc w:val="center"/>
        </w:trPr>
        <w:tc>
          <w:tcPr>
            <w:tcW w:w="1051" w:type="dxa"/>
            <w:tcBorders>
              <w:top w:val="single" w:color="auto" w:sz="4" w:space="0"/>
              <w:left w:val="single" w:color="auto" w:sz="4" w:space="0"/>
              <w:bottom w:val="single" w:color="auto" w:sz="4" w:space="0"/>
              <w:right w:val="single" w:color="auto" w:sz="4" w:space="0"/>
            </w:tcBorders>
            <w:vAlign w:val="center"/>
          </w:tcPr>
          <w:p w14:paraId="1AF7FFB7">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2</w:t>
            </w:r>
          </w:p>
        </w:tc>
        <w:tc>
          <w:tcPr>
            <w:tcW w:w="0" w:type="auto"/>
            <w:tcBorders>
              <w:top w:val="single" w:color="auto" w:sz="4" w:space="0"/>
              <w:left w:val="single" w:color="auto" w:sz="4" w:space="0"/>
              <w:bottom w:val="single" w:color="auto" w:sz="4" w:space="0"/>
              <w:right w:val="single" w:color="auto" w:sz="4" w:space="0"/>
            </w:tcBorders>
            <w:vAlign w:val="center"/>
          </w:tcPr>
          <w:p w14:paraId="2847CA16">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2886CD3">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706FE72">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2533" w:type="dxa"/>
            <w:tcBorders>
              <w:top w:val="single" w:color="auto" w:sz="4" w:space="0"/>
              <w:left w:val="single" w:color="auto" w:sz="4" w:space="0"/>
              <w:bottom w:val="single" w:color="auto" w:sz="4" w:space="0"/>
              <w:right w:val="single" w:color="auto" w:sz="4" w:space="0"/>
            </w:tcBorders>
            <w:vAlign w:val="center"/>
          </w:tcPr>
          <w:p w14:paraId="7D705080">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6198DF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5" w:hRule="atLeast"/>
          <w:jc w:val="center"/>
        </w:trPr>
        <w:tc>
          <w:tcPr>
            <w:tcW w:w="1051" w:type="dxa"/>
            <w:tcBorders>
              <w:top w:val="single" w:color="auto" w:sz="4" w:space="0"/>
              <w:left w:val="single" w:color="auto" w:sz="4" w:space="0"/>
              <w:bottom w:val="single" w:color="auto" w:sz="4" w:space="0"/>
              <w:right w:val="single" w:color="auto" w:sz="4" w:space="0"/>
            </w:tcBorders>
            <w:vAlign w:val="center"/>
          </w:tcPr>
          <w:p w14:paraId="019B9721">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3</w:t>
            </w:r>
          </w:p>
        </w:tc>
        <w:tc>
          <w:tcPr>
            <w:tcW w:w="0" w:type="auto"/>
            <w:tcBorders>
              <w:top w:val="single" w:color="auto" w:sz="4" w:space="0"/>
              <w:left w:val="single" w:color="auto" w:sz="4" w:space="0"/>
              <w:bottom w:val="single" w:color="auto" w:sz="4" w:space="0"/>
              <w:right w:val="single" w:color="auto" w:sz="4" w:space="0"/>
            </w:tcBorders>
            <w:vAlign w:val="center"/>
          </w:tcPr>
          <w:p w14:paraId="7A2D963F">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1A613EE0">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25E0895">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2533" w:type="dxa"/>
            <w:tcBorders>
              <w:top w:val="single" w:color="auto" w:sz="4" w:space="0"/>
              <w:left w:val="single" w:color="auto" w:sz="4" w:space="0"/>
              <w:bottom w:val="single" w:color="auto" w:sz="4" w:space="0"/>
              <w:right w:val="single" w:color="auto" w:sz="4" w:space="0"/>
            </w:tcBorders>
            <w:vAlign w:val="center"/>
          </w:tcPr>
          <w:p w14:paraId="5A666CB4">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6A68BD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5" w:hRule="atLeast"/>
          <w:jc w:val="center"/>
        </w:trPr>
        <w:tc>
          <w:tcPr>
            <w:tcW w:w="1051" w:type="dxa"/>
            <w:tcBorders>
              <w:top w:val="single" w:color="auto" w:sz="4" w:space="0"/>
              <w:left w:val="single" w:color="auto" w:sz="4" w:space="0"/>
              <w:bottom w:val="single" w:color="auto" w:sz="4" w:space="0"/>
              <w:right w:val="single" w:color="auto" w:sz="4" w:space="0"/>
            </w:tcBorders>
            <w:vAlign w:val="center"/>
          </w:tcPr>
          <w:p w14:paraId="3F3F9D00">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4</w:t>
            </w:r>
          </w:p>
        </w:tc>
        <w:tc>
          <w:tcPr>
            <w:tcW w:w="0" w:type="auto"/>
            <w:tcBorders>
              <w:top w:val="single" w:color="auto" w:sz="4" w:space="0"/>
              <w:left w:val="single" w:color="auto" w:sz="4" w:space="0"/>
              <w:bottom w:val="single" w:color="auto" w:sz="4" w:space="0"/>
              <w:right w:val="single" w:color="auto" w:sz="4" w:space="0"/>
            </w:tcBorders>
            <w:vAlign w:val="center"/>
          </w:tcPr>
          <w:p w14:paraId="4679FADE">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655369B0">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BB1F255">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2533" w:type="dxa"/>
            <w:tcBorders>
              <w:top w:val="single" w:color="auto" w:sz="4" w:space="0"/>
              <w:left w:val="single" w:color="auto" w:sz="4" w:space="0"/>
              <w:bottom w:val="single" w:color="auto" w:sz="4" w:space="0"/>
              <w:right w:val="single" w:color="auto" w:sz="4" w:space="0"/>
            </w:tcBorders>
            <w:vAlign w:val="center"/>
          </w:tcPr>
          <w:p w14:paraId="74E256FE">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r w14:paraId="5CD956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5" w:hRule="atLeast"/>
          <w:jc w:val="center"/>
        </w:trPr>
        <w:tc>
          <w:tcPr>
            <w:tcW w:w="1051" w:type="dxa"/>
            <w:tcBorders>
              <w:top w:val="single" w:color="auto" w:sz="4" w:space="0"/>
              <w:left w:val="single" w:color="auto" w:sz="4" w:space="0"/>
              <w:bottom w:val="single" w:color="auto" w:sz="4" w:space="0"/>
              <w:right w:val="single" w:color="auto" w:sz="4" w:space="0"/>
            </w:tcBorders>
            <w:vAlign w:val="center"/>
          </w:tcPr>
          <w:p w14:paraId="7D0B2A04">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5</w:t>
            </w:r>
          </w:p>
        </w:tc>
        <w:tc>
          <w:tcPr>
            <w:tcW w:w="0" w:type="auto"/>
            <w:tcBorders>
              <w:top w:val="single" w:color="auto" w:sz="4" w:space="0"/>
              <w:left w:val="single" w:color="auto" w:sz="4" w:space="0"/>
              <w:bottom w:val="single" w:color="auto" w:sz="4" w:space="0"/>
              <w:right w:val="single" w:color="auto" w:sz="4" w:space="0"/>
            </w:tcBorders>
            <w:vAlign w:val="center"/>
          </w:tcPr>
          <w:p w14:paraId="763C158C">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391A5C1">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72433C7">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c>
          <w:tcPr>
            <w:tcW w:w="2533" w:type="dxa"/>
            <w:tcBorders>
              <w:top w:val="single" w:color="auto" w:sz="4" w:space="0"/>
              <w:left w:val="single" w:color="auto" w:sz="4" w:space="0"/>
              <w:bottom w:val="single" w:color="auto" w:sz="4" w:space="0"/>
              <w:right w:val="single" w:color="auto" w:sz="4" w:space="0"/>
            </w:tcBorders>
            <w:vAlign w:val="center"/>
          </w:tcPr>
          <w:p w14:paraId="324024A3">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u w:val="none"/>
              </w:rPr>
            </w:pPr>
          </w:p>
        </w:tc>
      </w:tr>
    </w:tbl>
    <w:p w14:paraId="54C9C855">
      <w:pPr>
        <w:keepNext w:val="0"/>
        <w:keepLines w:val="0"/>
        <w:pageBreakBefore w:val="0"/>
        <w:widowControl w:val="0"/>
        <w:kinsoku/>
        <w:wordWrap/>
        <w:overflowPunct/>
        <w:bidi w:val="0"/>
        <w:spacing w:line="500" w:lineRule="exact"/>
        <w:textAlignment w:val="auto"/>
        <w:rPr>
          <w:rFonts w:hint="eastAsia" w:ascii="仿宋" w:hAnsi="仿宋" w:eastAsia="仿宋" w:cs="仿宋"/>
          <w:color w:val="auto"/>
          <w:sz w:val="24"/>
          <w:szCs w:val="24"/>
          <w:highlight w:val="none"/>
          <w:u w:val="none"/>
        </w:rPr>
      </w:pPr>
    </w:p>
    <w:p w14:paraId="604172C2">
      <w:pPr>
        <w:keepNext w:val="0"/>
        <w:keepLines w:val="0"/>
        <w:pageBreakBefore w:val="0"/>
        <w:widowControl w:val="0"/>
        <w:kinsoku/>
        <w:wordWrap/>
        <w:overflowPunct/>
        <w:bidi w:val="0"/>
        <w:spacing w:line="500" w:lineRule="exact"/>
        <w:textAlignment w:val="auto"/>
        <w:rPr>
          <w:rFonts w:hint="eastAsia" w:ascii="仿宋" w:hAnsi="仿宋" w:eastAsia="仿宋" w:cs="仿宋"/>
          <w:b/>
          <w:bCs/>
          <w:color w:val="auto"/>
          <w:sz w:val="24"/>
          <w:szCs w:val="24"/>
          <w:highlight w:val="none"/>
          <w:u w:val="none"/>
          <w:lang w:val="en-US" w:eastAsia="zh-CN"/>
        </w:rPr>
      </w:pPr>
      <w:r>
        <w:rPr>
          <w:rFonts w:hint="eastAsia" w:ascii="仿宋" w:hAnsi="仿宋" w:eastAsia="仿宋" w:cs="仿宋"/>
          <w:b/>
          <w:bCs/>
          <w:color w:val="auto"/>
          <w:sz w:val="24"/>
          <w:szCs w:val="24"/>
          <w:highlight w:val="none"/>
          <w:u w:val="none"/>
        </w:rPr>
        <w:t>注：供应商近5年内（签订时间为2021年10月1日至响应文件递交截止时间前）独立承接过45万元以上行政事业单位或国企食堂供应项目，至少提供1个合同及发票扫描件，并加盖公章。</w:t>
      </w:r>
    </w:p>
    <w:p w14:paraId="4BCF4E11">
      <w:pPr>
        <w:keepNext w:val="0"/>
        <w:keepLines w:val="0"/>
        <w:pageBreakBefore w:val="0"/>
        <w:widowControl w:val="0"/>
        <w:kinsoku/>
        <w:wordWrap/>
        <w:overflowPunct/>
        <w:bidi w:val="0"/>
        <w:spacing w:line="500" w:lineRule="exact"/>
        <w:textAlignment w:val="auto"/>
        <w:rPr>
          <w:rFonts w:hint="eastAsia" w:ascii="仿宋" w:hAnsi="仿宋" w:eastAsia="仿宋" w:cs="仿宋"/>
          <w:color w:val="auto"/>
          <w:sz w:val="24"/>
          <w:szCs w:val="24"/>
          <w:highlight w:val="none"/>
        </w:rPr>
      </w:pPr>
    </w:p>
    <w:p w14:paraId="30C8B766">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rPr>
      </w:pPr>
    </w:p>
    <w:p w14:paraId="2E0F7EFF">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rPr>
      </w:pPr>
    </w:p>
    <w:p w14:paraId="2F684275">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rPr>
      </w:pPr>
    </w:p>
    <w:p w14:paraId="305270EA">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rPr>
      </w:pPr>
    </w:p>
    <w:p w14:paraId="6DB7114B">
      <w:pPr>
        <w:keepNext w:val="0"/>
        <w:keepLines w:val="0"/>
        <w:pageBreakBefore w:val="0"/>
        <w:widowControl w:val="0"/>
        <w:kinsoku/>
        <w:wordWrap/>
        <w:overflowPunct/>
        <w:bidi w:val="0"/>
        <w:spacing w:line="500" w:lineRule="exact"/>
        <w:jc w:val="center"/>
        <w:textAlignment w:val="auto"/>
        <w:rPr>
          <w:rFonts w:hint="eastAsia" w:ascii="仿宋" w:hAnsi="仿宋" w:eastAsia="仿宋" w:cs="仿宋"/>
          <w:color w:val="auto"/>
          <w:sz w:val="24"/>
          <w:szCs w:val="24"/>
          <w:highlight w:val="none"/>
        </w:rPr>
      </w:pPr>
    </w:p>
    <w:p w14:paraId="7B2EA28D">
      <w:pPr>
        <w:rPr>
          <w:rFonts w:hint="eastAsia" w:ascii="仿宋" w:hAnsi="仿宋" w:eastAsia="仿宋" w:cs="仿宋"/>
          <w:b/>
          <w:bCs/>
          <w:color w:val="auto"/>
          <w:sz w:val="32"/>
          <w:szCs w:val="32"/>
          <w:highlight w:val="none"/>
          <w:lang w:eastAsia="zh-CN"/>
        </w:rPr>
      </w:pPr>
      <w:bookmarkStart w:id="82" w:name="_Toc7138"/>
      <w:r>
        <w:rPr>
          <w:rFonts w:hint="eastAsia" w:ascii="仿宋" w:hAnsi="仿宋" w:eastAsia="仿宋" w:cs="仿宋"/>
          <w:b/>
          <w:bCs/>
          <w:color w:val="auto"/>
          <w:sz w:val="32"/>
          <w:szCs w:val="32"/>
          <w:highlight w:val="none"/>
          <w:lang w:eastAsia="zh-CN"/>
        </w:rPr>
        <w:br w:type="page"/>
      </w:r>
    </w:p>
    <w:p w14:paraId="465B27F9">
      <w:pPr>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eastAsia="zh-CN"/>
        </w:rPr>
        <w:t>（</w:t>
      </w:r>
      <w:r>
        <w:rPr>
          <w:rFonts w:hint="eastAsia" w:ascii="仿宋" w:hAnsi="仿宋" w:eastAsia="仿宋" w:cs="仿宋"/>
          <w:b/>
          <w:bCs/>
          <w:color w:val="auto"/>
          <w:sz w:val="32"/>
          <w:szCs w:val="32"/>
          <w:highlight w:val="none"/>
          <w:lang w:val="en-US" w:eastAsia="zh-CN"/>
        </w:rPr>
        <w:t>三）</w:t>
      </w:r>
      <w:r>
        <w:rPr>
          <w:rFonts w:hint="eastAsia" w:ascii="仿宋" w:hAnsi="仿宋" w:eastAsia="仿宋" w:cs="仿宋"/>
          <w:b/>
          <w:bCs/>
          <w:color w:val="auto"/>
          <w:sz w:val="32"/>
          <w:szCs w:val="32"/>
          <w:highlight w:val="none"/>
        </w:rPr>
        <w:t>授权委托书（适用于有委托代理人的情况）</w:t>
      </w:r>
      <w:bookmarkEnd w:id="82"/>
    </w:p>
    <w:p w14:paraId="49D75B15">
      <w:pPr>
        <w:keepNext w:val="0"/>
        <w:keepLines w:val="0"/>
        <w:pageBreakBefore w:val="0"/>
        <w:widowControl w:val="0"/>
        <w:kinsoku/>
        <w:wordWrap/>
        <w:overflowPunct/>
        <w:bidi w:val="0"/>
        <w:spacing w:line="500" w:lineRule="exact"/>
        <w:ind w:firstLine="480"/>
        <w:textAlignment w:val="auto"/>
        <w:rPr>
          <w:rFonts w:hint="eastAsia" w:ascii="仿宋" w:hAnsi="仿宋" w:eastAsia="仿宋" w:cs="仿宋"/>
          <w:color w:val="auto"/>
          <w:sz w:val="24"/>
          <w:szCs w:val="24"/>
          <w:highlight w:val="none"/>
        </w:rPr>
      </w:pPr>
    </w:p>
    <w:p w14:paraId="385986DE">
      <w:pPr>
        <w:keepNext w:val="0"/>
        <w:keepLines w:val="0"/>
        <w:pageBreakBefore w:val="0"/>
        <w:widowControl w:val="0"/>
        <w:kinsoku/>
        <w:wordWrap/>
        <w:overflowPunct/>
        <w:bidi w:val="0"/>
        <w:spacing w:line="500" w:lineRule="exact"/>
        <w:ind w:firstLine="4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（姓名） </w:t>
      </w:r>
      <w:r>
        <w:rPr>
          <w:rFonts w:hint="eastAsia" w:ascii="仿宋" w:hAnsi="仿宋" w:eastAsia="仿宋" w:cs="仿宋"/>
          <w:color w:val="auto"/>
          <w:sz w:val="24"/>
          <w:szCs w:val="24"/>
          <w:highlight w:val="none"/>
        </w:rPr>
        <w:t>系</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eastAsia="zh-CN"/>
        </w:rPr>
        <w:t>供应商</w:t>
      </w:r>
      <w:r>
        <w:rPr>
          <w:rFonts w:hint="eastAsia" w:ascii="仿宋" w:hAnsi="仿宋" w:eastAsia="仿宋" w:cs="仿宋"/>
          <w:color w:val="auto"/>
          <w:sz w:val="24"/>
          <w:szCs w:val="24"/>
          <w:highlight w:val="none"/>
          <w:u w:val="single"/>
        </w:rPr>
        <w:t xml:space="preserve">名称） </w:t>
      </w:r>
      <w:r>
        <w:rPr>
          <w:rFonts w:hint="eastAsia" w:ascii="仿宋" w:hAnsi="仿宋" w:eastAsia="仿宋" w:cs="仿宋"/>
          <w:color w:val="auto"/>
          <w:sz w:val="24"/>
          <w:szCs w:val="24"/>
          <w:highlight w:val="none"/>
        </w:rPr>
        <w:t>的法定代表人/单位负责人，现委托</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（姓名）</w:t>
      </w:r>
      <w:r>
        <w:rPr>
          <w:rFonts w:hint="eastAsia" w:ascii="仿宋" w:hAnsi="仿宋" w:eastAsia="仿宋" w:cs="仿宋"/>
          <w:color w:val="auto"/>
          <w:sz w:val="24"/>
          <w:szCs w:val="24"/>
          <w:highlight w:val="none"/>
        </w:rPr>
        <w:t>为我方授权代理人。代理人根据授权，以我方名义签署、澄清、确认、递交、撤回、修改</w:t>
      </w:r>
      <w:r>
        <w:rPr>
          <w:rFonts w:hint="eastAsia" w:ascii="仿宋" w:hAnsi="仿宋" w:eastAsia="仿宋" w:cs="仿宋"/>
          <w:color w:val="auto"/>
          <w:sz w:val="24"/>
          <w:szCs w:val="24"/>
          <w:highlight w:val="none"/>
          <w:u w:val="none"/>
          <w:lang w:eastAsia="zh-CN"/>
        </w:rPr>
        <w:t>【赣州旅投景区管理集团有限公司食堂2026-2027年度食材供应－框架协议供应商入围征集项目】</w:t>
      </w:r>
      <w:r>
        <w:rPr>
          <w:rFonts w:hint="eastAsia" w:ascii="仿宋" w:hAnsi="仿宋" w:eastAsia="仿宋" w:cs="仿宋"/>
          <w:color w:val="auto"/>
          <w:sz w:val="24"/>
          <w:szCs w:val="24"/>
          <w:highlight w:val="none"/>
        </w:rPr>
        <w:t>报价文件、签订合同和处理有关事宜，其法律后果由我方承担。</w:t>
      </w:r>
    </w:p>
    <w:p w14:paraId="4D8891AF">
      <w:pPr>
        <w:keepNext w:val="0"/>
        <w:keepLines w:val="0"/>
        <w:pageBreakBefore w:val="0"/>
        <w:widowControl w:val="0"/>
        <w:kinsoku/>
        <w:wordWrap/>
        <w:overflowPunct/>
        <w:bidi w:val="0"/>
        <w:spacing w:line="500" w:lineRule="exact"/>
        <w:ind w:firstLine="4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委托期限：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日至</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1630A34C">
      <w:pPr>
        <w:keepNext w:val="0"/>
        <w:keepLines w:val="0"/>
        <w:pageBreakBefore w:val="0"/>
        <w:widowControl w:val="0"/>
        <w:kinsoku/>
        <w:wordWrap/>
        <w:overflowPunct/>
        <w:bidi w:val="0"/>
        <w:spacing w:line="500" w:lineRule="exact"/>
        <w:ind w:firstLine="4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委托代理人无转委托权。</w:t>
      </w:r>
    </w:p>
    <w:p w14:paraId="5C936258">
      <w:pPr>
        <w:keepNext w:val="0"/>
        <w:keepLines w:val="0"/>
        <w:pageBreakBefore w:val="0"/>
        <w:widowControl w:val="0"/>
        <w:kinsoku/>
        <w:wordWrap/>
        <w:overflowPunct/>
        <w:bidi w:val="0"/>
        <w:spacing w:line="500" w:lineRule="exact"/>
        <w:ind w:firstLine="480"/>
        <w:textAlignment w:val="auto"/>
        <w:rPr>
          <w:rFonts w:hint="eastAsia" w:ascii="仿宋" w:hAnsi="仿宋" w:eastAsia="仿宋" w:cs="仿宋"/>
          <w:color w:val="auto"/>
          <w:sz w:val="24"/>
          <w:szCs w:val="24"/>
          <w:highlight w:val="none"/>
        </w:rPr>
      </w:pPr>
    </w:p>
    <w:p w14:paraId="786F061A">
      <w:pPr>
        <w:pStyle w:val="7"/>
        <w:keepNext w:val="0"/>
        <w:keepLines w:val="0"/>
        <w:pageBreakBefore w:val="0"/>
        <w:widowControl w:val="0"/>
        <w:kinsoku/>
        <w:wordWrap/>
        <w:overflowPunct/>
        <w:bidi w:val="0"/>
        <w:spacing w:line="500" w:lineRule="exact"/>
        <w:textAlignment w:val="auto"/>
        <w:rPr>
          <w:rFonts w:hint="eastAsia" w:ascii="仿宋" w:hAnsi="仿宋" w:eastAsia="仿宋" w:cs="仿宋"/>
          <w:color w:val="auto"/>
          <w:sz w:val="24"/>
          <w:szCs w:val="24"/>
          <w:highlight w:val="none"/>
        </w:rPr>
      </w:pPr>
    </w:p>
    <w:p w14:paraId="56B1E370">
      <w:pPr>
        <w:keepNext w:val="0"/>
        <w:keepLines w:val="0"/>
        <w:pageBreakBefore w:val="0"/>
        <w:widowControl w:val="0"/>
        <w:kinsoku/>
        <w:wordWrap/>
        <w:overflowPunct/>
        <w:bidi w:val="0"/>
        <w:spacing w:line="500" w:lineRule="exact"/>
        <w:textAlignment w:val="auto"/>
        <w:rPr>
          <w:rFonts w:hint="eastAsia" w:ascii="仿宋" w:hAnsi="仿宋" w:eastAsia="仿宋" w:cs="仿宋"/>
          <w:color w:val="auto"/>
          <w:sz w:val="24"/>
          <w:szCs w:val="24"/>
          <w:highlight w:val="none"/>
        </w:rPr>
      </w:pPr>
    </w:p>
    <w:p w14:paraId="4BAD8FDB">
      <w:pPr>
        <w:keepNext w:val="0"/>
        <w:keepLines w:val="0"/>
        <w:pageBreakBefore w:val="0"/>
        <w:widowControl w:val="0"/>
        <w:kinsoku/>
        <w:wordWrap/>
        <w:overflowPunct/>
        <w:bidi w:val="0"/>
        <w:spacing w:after="313" w:afterLines="100" w:line="500" w:lineRule="exact"/>
        <w:ind w:firstLine="3076" w:firstLineChars="1282"/>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lang w:val="en-US" w:eastAsia="zh-CN"/>
        </w:rPr>
        <w:t>响应单位</w:t>
      </w:r>
      <w:r>
        <w:rPr>
          <w:rFonts w:hint="eastAsia" w:ascii="仿宋" w:hAnsi="仿宋" w:eastAsia="仿宋" w:cs="仿宋"/>
          <w:color w:val="auto"/>
          <w:sz w:val="24"/>
          <w:szCs w:val="24"/>
          <w:highlight w:val="none"/>
        </w:rPr>
        <w:t>（公章）：</w:t>
      </w:r>
      <w:r>
        <w:rPr>
          <w:rFonts w:hint="eastAsia" w:ascii="仿宋" w:hAnsi="仿宋" w:eastAsia="仿宋" w:cs="仿宋"/>
          <w:color w:val="auto"/>
          <w:sz w:val="24"/>
          <w:szCs w:val="24"/>
          <w:highlight w:val="none"/>
          <w:u w:val="single"/>
        </w:rPr>
        <w:t xml:space="preserve">                            </w:t>
      </w:r>
    </w:p>
    <w:p w14:paraId="14001C77">
      <w:pPr>
        <w:keepNext w:val="0"/>
        <w:keepLines w:val="0"/>
        <w:pageBreakBefore w:val="0"/>
        <w:widowControl w:val="0"/>
        <w:kinsoku/>
        <w:wordWrap/>
        <w:overflowPunct/>
        <w:bidi w:val="0"/>
        <w:spacing w:after="313" w:afterLines="100" w:line="500" w:lineRule="exact"/>
        <w:ind w:firstLine="3074" w:firstLineChars="1281"/>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lang w:eastAsia="zh-CN"/>
        </w:rPr>
        <w:t>签名</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14:paraId="60B64E42">
      <w:pPr>
        <w:keepNext w:val="0"/>
        <w:keepLines w:val="0"/>
        <w:pageBreakBefore w:val="0"/>
        <w:widowControl w:val="0"/>
        <w:kinsoku/>
        <w:wordWrap/>
        <w:overflowPunct/>
        <w:bidi w:val="0"/>
        <w:spacing w:after="313" w:afterLines="100" w:line="500" w:lineRule="exact"/>
        <w:ind w:firstLine="3076" w:firstLineChars="1282"/>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授权代理人（</w:t>
      </w:r>
      <w:r>
        <w:rPr>
          <w:rFonts w:hint="eastAsia" w:ascii="仿宋" w:hAnsi="仿宋" w:eastAsia="仿宋" w:cs="仿宋"/>
          <w:color w:val="auto"/>
          <w:sz w:val="24"/>
          <w:szCs w:val="24"/>
          <w:highlight w:val="none"/>
          <w:lang w:eastAsia="zh-CN"/>
        </w:rPr>
        <w:t>签名</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p>
    <w:p w14:paraId="72F42FD6">
      <w:pPr>
        <w:keepNext w:val="0"/>
        <w:keepLines w:val="0"/>
        <w:pageBreakBefore w:val="0"/>
        <w:widowControl w:val="0"/>
        <w:kinsoku/>
        <w:wordWrap/>
        <w:overflowPunct/>
        <w:bidi w:val="0"/>
        <w:spacing w:after="313" w:afterLines="100" w:line="500" w:lineRule="exact"/>
        <w:ind w:firstLine="4800" w:firstLineChars="20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33DE0F93">
      <w:pPr>
        <w:keepNext w:val="0"/>
        <w:keepLines w:val="0"/>
        <w:pageBreakBefore w:val="0"/>
        <w:widowControl w:val="0"/>
        <w:kinsoku/>
        <w:wordWrap/>
        <w:overflowPunct/>
        <w:bidi w:val="0"/>
        <w:spacing w:line="500" w:lineRule="exact"/>
        <w:ind w:firstLine="480"/>
        <w:textAlignment w:val="auto"/>
        <w:rPr>
          <w:rFonts w:hint="eastAsia" w:ascii="仿宋" w:hAnsi="仿宋" w:eastAsia="仿宋" w:cs="仿宋"/>
          <w:color w:val="auto"/>
          <w:sz w:val="24"/>
          <w:szCs w:val="24"/>
          <w:highlight w:val="none"/>
        </w:rPr>
      </w:pPr>
    </w:p>
    <w:p w14:paraId="64B5AA74">
      <w:pPr>
        <w:keepNext w:val="0"/>
        <w:keepLines w:val="0"/>
        <w:pageBreakBefore w:val="0"/>
        <w:widowControl w:val="0"/>
        <w:kinsoku/>
        <w:wordWrap/>
        <w:overflowPunct/>
        <w:bidi w:val="0"/>
        <w:spacing w:line="500" w:lineRule="exact"/>
        <w:ind w:firstLine="480"/>
        <w:textAlignment w:val="auto"/>
        <w:rPr>
          <w:rFonts w:hint="eastAsia" w:ascii="仿宋" w:hAnsi="仿宋" w:eastAsia="仿宋" w:cs="仿宋"/>
          <w:color w:val="auto"/>
          <w:sz w:val="24"/>
          <w:szCs w:val="24"/>
          <w:highlight w:val="none"/>
        </w:rPr>
      </w:pPr>
    </w:p>
    <w:p w14:paraId="777ADFA1">
      <w:pPr>
        <w:keepNext w:val="0"/>
        <w:keepLines w:val="0"/>
        <w:pageBreakBefore w:val="0"/>
        <w:widowControl w:val="0"/>
        <w:kinsoku/>
        <w:wordWrap/>
        <w:overflowPunct/>
        <w:bidi w:val="0"/>
        <w:spacing w:line="500" w:lineRule="exact"/>
        <w:ind w:firstLine="480"/>
        <w:textAlignment w:val="auto"/>
        <w:rPr>
          <w:rFonts w:hint="eastAsia" w:ascii="仿宋" w:hAnsi="仿宋" w:eastAsia="仿宋" w:cs="仿宋"/>
          <w:color w:val="auto"/>
          <w:sz w:val="24"/>
          <w:szCs w:val="24"/>
          <w:highlight w:val="none"/>
        </w:rPr>
      </w:pPr>
    </w:p>
    <w:p w14:paraId="518B5F26">
      <w:pPr>
        <w:keepNext w:val="0"/>
        <w:keepLines w:val="0"/>
        <w:pageBreakBefore w:val="0"/>
        <w:widowControl w:val="0"/>
        <w:kinsoku/>
        <w:wordWrap/>
        <w:overflowPunct/>
        <w:bidi w:val="0"/>
        <w:spacing w:line="500" w:lineRule="exact"/>
        <w:ind w:firstLine="480"/>
        <w:textAlignment w:val="auto"/>
        <w:rPr>
          <w:rFonts w:hint="eastAsia" w:ascii="仿宋" w:hAnsi="仿宋" w:eastAsia="仿宋" w:cs="仿宋"/>
          <w:color w:val="auto"/>
          <w:sz w:val="24"/>
          <w:szCs w:val="24"/>
          <w:highlight w:val="none"/>
        </w:rPr>
      </w:pPr>
    </w:p>
    <w:p w14:paraId="0BF753E4">
      <w:pPr>
        <w:keepNext w:val="0"/>
        <w:keepLines w:val="0"/>
        <w:pageBreakBefore w:val="0"/>
        <w:widowControl w:val="0"/>
        <w:kinsoku/>
        <w:wordWrap/>
        <w:overflowPunct/>
        <w:bidi w:val="0"/>
        <w:spacing w:line="500" w:lineRule="exact"/>
        <w:ind w:firstLine="480"/>
        <w:textAlignment w:val="auto"/>
        <w:rPr>
          <w:rFonts w:hint="eastAsia" w:ascii="仿宋" w:hAnsi="仿宋" w:eastAsia="仿宋" w:cs="仿宋"/>
          <w:color w:val="auto"/>
          <w:sz w:val="24"/>
          <w:szCs w:val="24"/>
          <w:highlight w:val="none"/>
        </w:rPr>
      </w:pPr>
    </w:p>
    <w:p w14:paraId="43BE0B12">
      <w:pPr>
        <w:keepNext w:val="0"/>
        <w:keepLines w:val="0"/>
        <w:pageBreakBefore w:val="0"/>
        <w:widowControl w:val="0"/>
        <w:kinsoku/>
        <w:wordWrap/>
        <w:overflowPunct/>
        <w:bidi w:val="0"/>
        <w:spacing w:line="500" w:lineRule="exact"/>
        <w:ind w:firstLine="4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附：法定代表人身份证复印件及委托代理人身份证复印件</w:t>
      </w:r>
    </w:p>
    <w:p w14:paraId="75F01813">
      <w:pPr>
        <w:keepNext w:val="0"/>
        <w:keepLines w:val="0"/>
        <w:pageBreakBefore w:val="0"/>
        <w:widowControl w:val="0"/>
        <w:kinsoku/>
        <w:wordWrap/>
        <w:overflowPunct/>
        <w:bidi w:val="0"/>
        <w:spacing w:line="500" w:lineRule="exact"/>
        <w:ind w:firstLine="480"/>
        <w:textAlignment w:val="auto"/>
        <w:rPr>
          <w:rFonts w:hint="eastAsia" w:ascii="仿宋" w:hAnsi="仿宋" w:eastAsia="仿宋" w:cs="仿宋"/>
          <w:color w:val="auto"/>
          <w:sz w:val="24"/>
          <w:szCs w:val="24"/>
          <w:highlight w:val="none"/>
        </w:rPr>
        <w:sectPr>
          <w:headerReference r:id="rId5" w:type="default"/>
          <w:footerReference r:id="rId6" w:type="default"/>
          <w:pgSz w:w="11906" w:h="16838"/>
          <w:pgMar w:top="1440" w:right="1800" w:bottom="1440" w:left="1800" w:header="851" w:footer="992" w:gutter="0"/>
          <w:cols w:space="720" w:num="1"/>
          <w:docGrid w:type="lines" w:linePitch="312" w:charSpace="0"/>
        </w:sectPr>
      </w:pPr>
      <w:r>
        <w:rPr>
          <w:rFonts w:hint="eastAsia" w:ascii="仿宋" w:hAnsi="仿宋" w:eastAsia="仿宋" w:cs="仿宋"/>
          <w:color w:val="auto"/>
          <w:sz w:val="24"/>
          <w:szCs w:val="24"/>
          <w:highlight w:val="none"/>
        </w:rPr>
        <w:t>注：</w:t>
      </w:r>
      <w:r>
        <w:rPr>
          <w:rFonts w:hint="eastAsia" w:ascii="仿宋" w:hAnsi="仿宋" w:eastAsia="仿宋" w:cs="仿宋"/>
          <w:b w:val="0"/>
          <w:bCs/>
          <w:color w:val="auto"/>
          <w:sz w:val="24"/>
          <w:szCs w:val="24"/>
          <w:highlight w:val="none"/>
        </w:rPr>
        <w:t>本授权委托书需由供应商加盖公司公章并由其法定代表人签名</w:t>
      </w:r>
      <w:r>
        <w:rPr>
          <w:rFonts w:hint="eastAsia" w:ascii="仿宋" w:hAnsi="仿宋" w:eastAsia="仿宋" w:cs="仿宋"/>
          <w:color w:val="auto"/>
          <w:sz w:val="24"/>
          <w:szCs w:val="24"/>
          <w:highlight w:val="none"/>
        </w:rPr>
        <w:t>。</w:t>
      </w:r>
    </w:p>
    <w:p w14:paraId="05A77D83">
      <w:pPr>
        <w:jc w:val="center"/>
        <w:rPr>
          <w:rFonts w:hint="eastAsia" w:ascii="仿宋" w:hAnsi="仿宋" w:eastAsia="仿宋" w:cs="仿宋"/>
          <w:b/>
          <w:bCs/>
          <w:color w:val="auto"/>
          <w:sz w:val="32"/>
          <w:szCs w:val="32"/>
          <w:highlight w:val="none"/>
        </w:rPr>
      </w:pPr>
      <w:bookmarkStart w:id="83" w:name="_Toc15307"/>
      <w:r>
        <w:rPr>
          <w:rFonts w:hint="eastAsia" w:ascii="仿宋" w:hAnsi="仿宋" w:eastAsia="仿宋" w:cs="仿宋"/>
          <w:b/>
          <w:bCs/>
          <w:color w:val="auto"/>
          <w:sz w:val="32"/>
          <w:szCs w:val="32"/>
          <w:highlight w:val="none"/>
          <w:lang w:eastAsia="zh-CN"/>
        </w:rPr>
        <w:t>（</w:t>
      </w:r>
      <w:r>
        <w:rPr>
          <w:rFonts w:hint="eastAsia" w:ascii="仿宋" w:hAnsi="仿宋" w:eastAsia="仿宋" w:cs="仿宋"/>
          <w:b/>
          <w:bCs/>
          <w:color w:val="auto"/>
          <w:sz w:val="32"/>
          <w:szCs w:val="32"/>
          <w:highlight w:val="none"/>
          <w:lang w:val="en-US" w:eastAsia="zh-CN"/>
        </w:rPr>
        <w:t>四）</w:t>
      </w:r>
      <w:r>
        <w:rPr>
          <w:rFonts w:hint="eastAsia" w:ascii="仿宋" w:hAnsi="仿宋" w:eastAsia="仿宋" w:cs="仿宋"/>
          <w:b/>
          <w:bCs/>
          <w:color w:val="auto"/>
          <w:sz w:val="32"/>
          <w:szCs w:val="32"/>
          <w:highlight w:val="none"/>
        </w:rPr>
        <w:t>信誉承诺表</w:t>
      </w:r>
      <w:bookmarkEnd w:id="83"/>
    </w:p>
    <w:tbl>
      <w:tblPr>
        <w:tblStyle w:val="23"/>
        <w:tblW w:w="858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95"/>
        <w:gridCol w:w="6225"/>
        <w:gridCol w:w="1265"/>
      </w:tblGrid>
      <w:tr w14:paraId="17597E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3" w:hRule="atLeast"/>
          <w:jc w:val="center"/>
        </w:trPr>
        <w:tc>
          <w:tcPr>
            <w:tcW w:w="1095" w:type="dxa"/>
            <w:tcBorders>
              <w:top w:val="single" w:color="auto" w:sz="12" w:space="0"/>
              <w:left w:val="single" w:color="auto" w:sz="12" w:space="0"/>
              <w:bottom w:val="single" w:color="auto" w:sz="6" w:space="0"/>
              <w:right w:val="single" w:color="auto" w:sz="6" w:space="0"/>
            </w:tcBorders>
            <w:vAlign w:val="center"/>
          </w:tcPr>
          <w:p w14:paraId="2F01D91B">
            <w:pPr>
              <w:keepNext w:val="0"/>
              <w:keepLines w:val="0"/>
              <w:pageBreakBefore w:val="0"/>
              <w:widowControl w:val="0"/>
              <w:kinsoku/>
              <w:wordWrap/>
              <w:overflowPunct/>
              <w:topLinePunct w:val="0"/>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6225" w:type="dxa"/>
            <w:tcBorders>
              <w:top w:val="single" w:color="auto" w:sz="12" w:space="0"/>
              <w:left w:val="single" w:color="auto" w:sz="6" w:space="0"/>
              <w:bottom w:val="single" w:color="auto" w:sz="6" w:space="0"/>
              <w:right w:val="single" w:color="auto" w:sz="6" w:space="0"/>
            </w:tcBorders>
            <w:vAlign w:val="center"/>
          </w:tcPr>
          <w:p w14:paraId="1B5C6C98">
            <w:pPr>
              <w:keepNext w:val="0"/>
              <w:keepLines w:val="0"/>
              <w:pageBreakBefore w:val="0"/>
              <w:widowControl w:val="0"/>
              <w:kinsoku/>
              <w:wordWrap/>
              <w:overflowPunct/>
              <w:topLinePunct w:val="0"/>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信誉内容</w:t>
            </w:r>
          </w:p>
        </w:tc>
        <w:tc>
          <w:tcPr>
            <w:tcW w:w="1265" w:type="dxa"/>
            <w:tcBorders>
              <w:top w:val="single" w:color="auto" w:sz="12" w:space="0"/>
              <w:left w:val="single" w:color="auto" w:sz="6" w:space="0"/>
              <w:bottom w:val="single" w:color="auto" w:sz="6" w:space="0"/>
              <w:right w:val="single" w:color="auto" w:sz="12" w:space="0"/>
            </w:tcBorders>
            <w:vAlign w:val="center"/>
          </w:tcPr>
          <w:p w14:paraId="55C37B12">
            <w:pPr>
              <w:keepNext w:val="0"/>
              <w:keepLines w:val="0"/>
              <w:pageBreakBefore w:val="0"/>
              <w:widowControl w:val="0"/>
              <w:kinsoku/>
              <w:wordWrap/>
              <w:overflowPunct/>
              <w:topLinePunct w:val="0"/>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情况说明</w:t>
            </w:r>
          </w:p>
        </w:tc>
      </w:tr>
      <w:tr w14:paraId="11A82F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25" w:hRule="atLeast"/>
          <w:jc w:val="center"/>
        </w:trPr>
        <w:tc>
          <w:tcPr>
            <w:tcW w:w="1095" w:type="dxa"/>
            <w:tcBorders>
              <w:top w:val="single" w:color="auto" w:sz="6" w:space="0"/>
              <w:left w:val="single" w:color="auto" w:sz="12" w:space="0"/>
              <w:bottom w:val="single" w:color="auto" w:sz="6" w:space="0"/>
              <w:right w:val="single" w:color="auto" w:sz="6" w:space="0"/>
            </w:tcBorders>
            <w:vAlign w:val="center"/>
          </w:tcPr>
          <w:p w14:paraId="28AD9606">
            <w:pPr>
              <w:keepNext w:val="0"/>
              <w:keepLines w:val="0"/>
              <w:pageBreakBefore w:val="0"/>
              <w:widowControl w:val="0"/>
              <w:kinsoku/>
              <w:wordWrap/>
              <w:overflowPunct/>
              <w:topLinePunct w:val="0"/>
              <w:autoSpaceDE w:val="0"/>
              <w:autoSpaceDN w:val="0"/>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6225" w:type="dxa"/>
            <w:tcBorders>
              <w:top w:val="single" w:color="auto" w:sz="6" w:space="0"/>
              <w:left w:val="single" w:color="auto" w:sz="6" w:space="0"/>
              <w:bottom w:val="single" w:color="auto" w:sz="6" w:space="0"/>
              <w:right w:val="single" w:color="auto" w:sz="6" w:space="0"/>
            </w:tcBorders>
            <w:vAlign w:val="center"/>
          </w:tcPr>
          <w:p w14:paraId="2137629E">
            <w:pPr>
              <w:keepNext w:val="0"/>
              <w:keepLines w:val="0"/>
              <w:pageBreakBefore w:val="0"/>
              <w:widowControl w:val="0"/>
              <w:kinsoku/>
              <w:wordWrap/>
              <w:overflowPunct/>
              <w:topLinePunct w:val="0"/>
              <w:autoSpaceDE w:val="0"/>
              <w:autoSpaceDN w:val="0"/>
              <w:bidi w:val="0"/>
              <w:adjustRightInd w:val="0"/>
              <w:snapToGrid w:val="0"/>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是否被责令停业，暂扣或吊销执照，或吊销资质证书</w:t>
            </w:r>
          </w:p>
        </w:tc>
        <w:tc>
          <w:tcPr>
            <w:tcW w:w="1265" w:type="dxa"/>
            <w:tcBorders>
              <w:top w:val="single" w:color="auto" w:sz="6" w:space="0"/>
              <w:left w:val="single" w:color="auto" w:sz="6" w:space="0"/>
              <w:bottom w:val="single" w:color="auto" w:sz="6" w:space="0"/>
              <w:right w:val="single" w:color="auto" w:sz="12" w:space="0"/>
            </w:tcBorders>
            <w:vAlign w:val="center"/>
          </w:tcPr>
          <w:p w14:paraId="45B9E3C2">
            <w:pPr>
              <w:keepNext w:val="0"/>
              <w:keepLines w:val="0"/>
              <w:pageBreakBefore w:val="0"/>
              <w:widowControl w:val="0"/>
              <w:kinsoku/>
              <w:wordWrap/>
              <w:overflowPunct/>
              <w:topLinePunct w:val="0"/>
              <w:bidi w:val="0"/>
              <w:adjustRightInd w:val="0"/>
              <w:snapToGrid w:val="0"/>
              <w:spacing w:line="500" w:lineRule="exact"/>
              <w:textAlignment w:val="auto"/>
              <w:rPr>
                <w:rFonts w:hint="eastAsia" w:ascii="仿宋" w:hAnsi="仿宋" w:eastAsia="仿宋" w:cs="仿宋"/>
                <w:color w:val="auto"/>
                <w:sz w:val="24"/>
                <w:szCs w:val="24"/>
                <w:highlight w:val="none"/>
              </w:rPr>
            </w:pPr>
          </w:p>
        </w:tc>
      </w:tr>
      <w:tr w14:paraId="6FD2AB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7" w:hRule="atLeast"/>
          <w:jc w:val="center"/>
        </w:trPr>
        <w:tc>
          <w:tcPr>
            <w:tcW w:w="1095" w:type="dxa"/>
            <w:tcBorders>
              <w:top w:val="single" w:color="auto" w:sz="6" w:space="0"/>
              <w:left w:val="single" w:color="auto" w:sz="12" w:space="0"/>
              <w:bottom w:val="single" w:color="auto" w:sz="6" w:space="0"/>
              <w:right w:val="single" w:color="auto" w:sz="6" w:space="0"/>
            </w:tcBorders>
            <w:vAlign w:val="center"/>
          </w:tcPr>
          <w:p w14:paraId="3358947C">
            <w:pPr>
              <w:keepNext w:val="0"/>
              <w:keepLines w:val="0"/>
              <w:pageBreakBefore w:val="0"/>
              <w:widowControl w:val="0"/>
              <w:kinsoku/>
              <w:wordWrap/>
              <w:overflowPunct/>
              <w:topLinePunct w:val="0"/>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6225" w:type="dxa"/>
            <w:tcBorders>
              <w:top w:val="single" w:color="auto" w:sz="6" w:space="0"/>
              <w:left w:val="single" w:color="auto" w:sz="6" w:space="0"/>
              <w:bottom w:val="single" w:color="auto" w:sz="6" w:space="0"/>
              <w:right w:val="single" w:color="auto" w:sz="6" w:space="0"/>
            </w:tcBorders>
            <w:vAlign w:val="center"/>
          </w:tcPr>
          <w:p w14:paraId="68C77CFF">
            <w:pPr>
              <w:keepNext w:val="0"/>
              <w:keepLines w:val="0"/>
              <w:pageBreakBefore w:val="0"/>
              <w:widowControl w:val="0"/>
              <w:kinsoku/>
              <w:wordWrap/>
              <w:overflowPunct/>
              <w:topLinePunct w:val="0"/>
              <w:autoSpaceDE w:val="0"/>
              <w:autoSpaceDN w:val="0"/>
              <w:bidi w:val="0"/>
              <w:adjustRightInd w:val="0"/>
              <w:snapToGrid w:val="0"/>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是否进入清算程序，或被宣告破产，或其他丧失履约能力的情形</w:t>
            </w:r>
          </w:p>
        </w:tc>
        <w:tc>
          <w:tcPr>
            <w:tcW w:w="1265" w:type="dxa"/>
            <w:tcBorders>
              <w:top w:val="single" w:color="auto" w:sz="6" w:space="0"/>
              <w:left w:val="single" w:color="auto" w:sz="6" w:space="0"/>
              <w:bottom w:val="single" w:color="auto" w:sz="6" w:space="0"/>
              <w:right w:val="single" w:color="auto" w:sz="12" w:space="0"/>
            </w:tcBorders>
            <w:vAlign w:val="center"/>
          </w:tcPr>
          <w:p w14:paraId="09E1954E">
            <w:pPr>
              <w:keepNext w:val="0"/>
              <w:keepLines w:val="0"/>
              <w:pageBreakBefore w:val="0"/>
              <w:widowControl w:val="0"/>
              <w:kinsoku/>
              <w:wordWrap/>
              <w:overflowPunct/>
              <w:topLinePunct w:val="0"/>
              <w:bidi w:val="0"/>
              <w:adjustRightInd w:val="0"/>
              <w:snapToGrid w:val="0"/>
              <w:spacing w:line="500" w:lineRule="exact"/>
              <w:textAlignment w:val="auto"/>
              <w:rPr>
                <w:rFonts w:hint="eastAsia" w:ascii="仿宋" w:hAnsi="仿宋" w:eastAsia="仿宋" w:cs="仿宋"/>
                <w:color w:val="auto"/>
                <w:sz w:val="24"/>
                <w:szCs w:val="24"/>
                <w:highlight w:val="none"/>
              </w:rPr>
            </w:pPr>
          </w:p>
        </w:tc>
      </w:tr>
      <w:tr w14:paraId="1474A3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26" w:hRule="atLeast"/>
          <w:jc w:val="center"/>
        </w:trPr>
        <w:tc>
          <w:tcPr>
            <w:tcW w:w="1095" w:type="dxa"/>
            <w:tcBorders>
              <w:top w:val="single" w:color="auto" w:sz="6" w:space="0"/>
              <w:left w:val="single" w:color="auto" w:sz="12" w:space="0"/>
              <w:bottom w:val="single" w:color="auto" w:sz="6" w:space="0"/>
              <w:right w:val="single" w:color="auto" w:sz="6" w:space="0"/>
            </w:tcBorders>
            <w:vAlign w:val="center"/>
          </w:tcPr>
          <w:p w14:paraId="75A98CAB">
            <w:pPr>
              <w:keepNext w:val="0"/>
              <w:keepLines w:val="0"/>
              <w:pageBreakBefore w:val="0"/>
              <w:widowControl w:val="0"/>
              <w:kinsoku/>
              <w:wordWrap/>
              <w:overflowPunct/>
              <w:topLinePunct w:val="0"/>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6225" w:type="dxa"/>
            <w:tcBorders>
              <w:top w:val="single" w:color="auto" w:sz="6" w:space="0"/>
              <w:left w:val="single" w:color="auto" w:sz="6" w:space="0"/>
              <w:bottom w:val="single" w:color="auto" w:sz="6" w:space="0"/>
              <w:right w:val="single" w:color="auto" w:sz="6" w:space="0"/>
            </w:tcBorders>
            <w:vAlign w:val="center"/>
          </w:tcPr>
          <w:p w14:paraId="75F7E539">
            <w:pPr>
              <w:keepNext w:val="0"/>
              <w:keepLines w:val="0"/>
              <w:pageBreakBefore w:val="0"/>
              <w:widowControl w:val="0"/>
              <w:kinsoku/>
              <w:wordWrap/>
              <w:overflowPunct/>
              <w:topLinePunct w:val="0"/>
              <w:autoSpaceDE w:val="0"/>
              <w:autoSpaceDN w:val="0"/>
              <w:bidi w:val="0"/>
              <w:adjustRightInd w:val="0"/>
              <w:snapToGrid w:val="0"/>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是否在国家企业信用信息公示系统</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"http://www.gsxt.gov.cn/" </w:instrText>
            </w:r>
            <w:r>
              <w:rPr>
                <w:rFonts w:hint="eastAsia" w:ascii="仿宋" w:hAnsi="仿宋" w:eastAsia="仿宋" w:cs="仿宋"/>
                <w:color w:val="auto"/>
                <w:sz w:val="24"/>
                <w:szCs w:val="24"/>
                <w:highlight w:val="none"/>
              </w:rPr>
              <w:fldChar w:fldCharType="separate"/>
            </w:r>
            <w:r>
              <w:rPr>
                <w:rStyle w:val="27"/>
                <w:rFonts w:hint="eastAsia" w:ascii="仿宋" w:hAnsi="仿宋" w:eastAsia="仿宋" w:cs="仿宋"/>
                <w:color w:val="auto"/>
                <w:sz w:val="24"/>
                <w:szCs w:val="24"/>
                <w:highlight w:val="none"/>
              </w:rPr>
              <w:t>（http://www.gsxt.gov.cn</w:t>
            </w:r>
            <w:r>
              <w:rPr>
                <w:rStyle w:val="30"/>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）中被列入严重违法失信企业名单</w:t>
            </w:r>
          </w:p>
        </w:tc>
        <w:tc>
          <w:tcPr>
            <w:tcW w:w="1265" w:type="dxa"/>
            <w:tcBorders>
              <w:top w:val="single" w:color="auto" w:sz="6" w:space="0"/>
              <w:left w:val="single" w:color="auto" w:sz="6" w:space="0"/>
              <w:bottom w:val="single" w:color="auto" w:sz="6" w:space="0"/>
              <w:right w:val="single" w:color="auto" w:sz="12" w:space="0"/>
            </w:tcBorders>
            <w:vAlign w:val="center"/>
          </w:tcPr>
          <w:p w14:paraId="79C00BB6">
            <w:pPr>
              <w:keepNext w:val="0"/>
              <w:keepLines w:val="0"/>
              <w:pageBreakBefore w:val="0"/>
              <w:widowControl w:val="0"/>
              <w:kinsoku/>
              <w:wordWrap/>
              <w:overflowPunct/>
              <w:topLinePunct w:val="0"/>
              <w:bidi w:val="0"/>
              <w:adjustRightInd w:val="0"/>
              <w:snapToGrid w:val="0"/>
              <w:spacing w:line="500" w:lineRule="exact"/>
              <w:textAlignment w:val="auto"/>
              <w:rPr>
                <w:rFonts w:hint="eastAsia" w:ascii="仿宋" w:hAnsi="仿宋" w:eastAsia="仿宋" w:cs="仿宋"/>
                <w:color w:val="auto"/>
                <w:sz w:val="24"/>
                <w:szCs w:val="24"/>
                <w:highlight w:val="none"/>
              </w:rPr>
            </w:pPr>
          </w:p>
        </w:tc>
      </w:tr>
      <w:tr w14:paraId="6CD770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26" w:hRule="atLeast"/>
          <w:jc w:val="center"/>
        </w:trPr>
        <w:tc>
          <w:tcPr>
            <w:tcW w:w="1095" w:type="dxa"/>
            <w:tcBorders>
              <w:top w:val="single" w:color="auto" w:sz="6" w:space="0"/>
              <w:left w:val="single" w:color="auto" w:sz="12" w:space="0"/>
              <w:bottom w:val="single" w:color="auto" w:sz="12" w:space="0"/>
              <w:right w:val="single" w:color="auto" w:sz="6" w:space="0"/>
            </w:tcBorders>
            <w:vAlign w:val="center"/>
          </w:tcPr>
          <w:p w14:paraId="2D8007C6">
            <w:pPr>
              <w:keepNext w:val="0"/>
              <w:keepLines w:val="0"/>
              <w:pageBreakBefore w:val="0"/>
              <w:widowControl w:val="0"/>
              <w:kinsoku/>
              <w:wordWrap/>
              <w:overflowPunct/>
              <w:topLinePunct w:val="0"/>
              <w:bidi w:val="0"/>
              <w:adjustRightInd w:val="0"/>
              <w:snapToGrid w:val="0"/>
              <w:spacing w:line="5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6225" w:type="dxa"/>
            <w:tcBorders>
              <w:top w:val="single" w:color="auto" w:sz="6" w:space="0"/>
              <w:left w:val="single" w:color="auto" w:sz="6" w:space="0"/>
              <w:bottom w:val="single" w:color="auto" w:sz="12" w:space="0"/>
              <w:right w:val="single" w:color="auto" w:sz="6" w:space="0"/>
            </w:tcBorders>
            <w:vAlign w:val="center"/>
          </w:tcPr>
          <w:p w14:paraId="6351EF78">
            <w:pPr>
              <w:keepNext w:val="0"/>
              <w:keepLines w:val="0"/>
              <w:pageBreakBefore w:val="0"/>
              <w:widowControl w:val="0"/>
              <w:kinsoku/>
              <w:wordWrap/>
              <w:overflowPunct/>
              <w:topLinePunct w:val="0"/>
              <w:autoSpaceDE w:val="0"/>
              <w:autoSpaceDN w:val="0"/>
              <w:bidi w:val="0"/>
              <w:adjustRightInd w:val="0"/>
              <w:snapToGrid w:val="0"/>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是否在信用中国网站（</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"http://www.creditchina.gov.cn/" </w:instrText>
            </w:r>
            <w:r>
              <w:rPr>
                <w:rFonts w:hint="eastAsia" w:ascii="仿宋" w:hAnsi="仿宋" w:eastAsia="仿宋" w:cs="仿宋"/>
                <w:color w:val="auto"/>
                <w:sz w:val="24"/>
                <w:szCs w:val="24"/>
                <w:highlight w:val="none"/>
              </w:rPr>
              <w:fldChar w:fldCharType="separate"/>
            </w:r>
            <w:r>
              <w:rPr>
                <w:rStyle w:val="27"/>
                <w:rFonts w:hint="eastAsia" w:ascii="仿宋" w:hAnsi="仿宋" w:eastAsia="仿宋" w:cs="仿宋"/>
                <w:color w:val="auto"/>
                <w:sz w:val="24"/>
                <w:szCs w:val="24"/>
                <w:highlight w:val="none"/>
              </w:rPr>
              <w:t>http://www.creditchina.gov.cn</w:t>
            </w:r>
            <w:r>
              <w:rPr>
                <w:rStyle w:val="30"/>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）中被列入失信被执行人名单</w:t>
            </w:r>
          </w:p>
        </w:tc>
        <w:tc>
          <w:tcPr>
            <w:tcW w:w="1265" w:type="dxa"/>
            <w:tcBorders>
              <w:top w:val="single" w:color="auto" w:sz="6" w:space="0"/>
              <w:left w:val="single" w:color="auto" w:sz="6" w:space="0"/>
              <w:bottom w:val="single" w:color="auto" w:sz="12" w:space="0"/>
              <w:right w:val="single" w:color="auto" w:sz="12" w:space="0"/>
            </w:tcBorders>
            <w:vAlign w:val="center"/>
          </w:tcPr>
          <w:p w14:paraId="20A6E15E">
            <w:pPr>
              <w:keepNext w:val="0"/>
              <w:keepLines w:val="0"/>
              <w:pageBreakBefore w:val="0"/>
              <w:widowControl w:val="0"/>
              <w:kinsoku/>
              <w:wordWrap/>
              <w:overflowPunct/>
              <w:topLinePunct w:val="0"/>
              <w:bidi w:val="0"/>
              <w:adjustRightInd w:val="0"/>
              <w:snapToGrid w:val="0"/>
              <w:spacing w:line="500" w:lineRule="exact"/>
              <w:textAlignment w:val="auto"/>
              <w:rPr>
                <w:rFonts w:hint="eastAsia" w:ascii="仿宋" w:hAnsi="仿宋" w:eastAsia="仿宋" w:cs="仿宋"/>
                <w:color w:val="auto"/>
                <w:sz w:val="24"/>
                <w:szCs w:val="24"/>
                <w:highlight w:val="none"/>
              </w:rPr>
            </w:pPr>
          </w:p>
        </w:tc>
      </w:tr>
    </w:tbl>
    <w:p w14:paraId="1DEFD3A4">
      <w:pPr>
        <w:keepNext w:val="0"/>
        <w:keepLines w:val="0"/>
        <w:pageBreakBefore w:val="0"/>
        <w:widowControl w:val="0"/>
        <w:kinsoku/>
        <w:wordWrap/>
        <w:overflowPunct/>
        <w:topLinePunct w:val="0"/>
        <w:bidi w:val="0"/>
        <w:spacing w:line="50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p>
    <w:p w14:paraId="5E0F140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情况说明请填写“是”或“否”。</w:t>
      </w:r>
    </w:p>
    <w:p w14:paraId="58C205B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应如实填写本表，如隐瞒真实情况，一旦发现将取消其签约资格。</w:t>
      </w:r>
    </w:p>
    <w:p w14:paraId="7DC3FFC6">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3.需提供“信用中国”及国家企业信用信息公示系统无违规记录截图佐证。</w:t>
      </w:r>
    </w:p>
    <w:p w14:paraId="18EC28EE">
      <w:pPr>
        <w:keepNext w:val="0"/>
        <w:keepLines w:val="0"/>
        <w:pageBreakBefore w:val="0"/>
        <w:widowControl w:val="0"/>
        <w:kinsoku/>
        <w:wordWrap/>
        <w:overflowPunct/>
        <w:topLinePunct w:val="0"/>
        <w:bidi w:val="0"/>
        <w:spacing w:line="500" w:lineRule="exact"/>
        <w:textAlignment w:val="auto"/>
        <w:rPr>
          <w:rFonts w:hint="eastAsia" w:ascii="仿宋" w:hAnsi="仿宋" w:eastAsia="仿宋" w:cs="仿宋"/>
          <w:color w:val="auto"/>
          <w:sz w:val="24"/>
          <w:szCs w:val="24"/>
          <w:highlight w:val="none"/>
        </w:rPr>
      </w:pPr>
    </w:p>
    <w:p w14:paraId="23099D99">
      <w:pPr>
        <w:keepNext w:val="0"/>
        <w:keepLines w:val="0"/>
        <w:pageBreakBefore w:val="0"/>
        <w:widowControl w:val="0"/>
        <w:kinsoku/>
        <w:wordWrap/>
        <w:overflowPunct/>
        <w:topLinePunct w:val="0"/>
        <w:bidi w:val="0"/>
        <w:spacing w:line="500" w:lineRule="exact"/>
        <w:textAlignment w:val="auto"/>
        <w:rPr>
          <w:rFonts w:hint="eastAsia" w:ascii="仿宋" w:hAnsi="仿宋" w:eastAsia="仿宋" w:cs="仿宋"/>
          <w:color w:val="auto"/>
          <w:sz w:val="24"/>
          <w:szCs w:val="24"/>
          <w:highlight w:val="none"/>
          <w:lang w:val="en-US" w:eastAsia="zh-CN"/>
        </w:rPr>
      </w:pPr>
    </w:p>
    <w:p w14:paraId="06DE1F0A">
      <w:pPr>
        <w:keepNext w:val="0"/>
        <w:keepLines w:val="0"/>
        <w:pageBreakBefore w:val="0"/>
        <w:widowControl w:val="0"/>
        <w:tabs>
          <w:tab w:val="left" w:pos="7460"/>
          <w:tab w:val="left" w:pos="8080"/>
          <w:tab w:val="left" w:pos="8800"/>
        </w:tabs>
        <w:kinsoku/>
        <w:wordWrap/>
        <w:overflowPunct/>
        <w:autoSpaceDE w:val="0"/>
        <w:autoSpaceDN w:val="0"/>
        <w:bidi w:val="0"/>
        <w:adjustRightInd w:val="0"/>
        <w:spacing w:after="313" w:afterLines="100" w:line="500" w:lineRule="exact"/>
        <w:ind w:left="3360" w:leftChars="1400" w:right="61"/>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lang w:val="en-US" w:eastAsia="zh-CN"/>
        </w:rPr>
        <w:t>响应单位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14:paraId="3354FA1E">
      <w:pPr>
        <w:keepNext w:val="0"/>
        <w:keepLines w:val="0"/>
        <w:pageBreakBefore w:val="0"/>
        <w:widowControl w:val="0"/>
        <w:tabs>
          <w:tab w:val="left" w:pos="7460"/>
          <w:tab w:val="left" w:pos="8080"/>
          <w:tab w:val="left" w:pos="8800"/>
        </w:tabs>
        <w:kinsoku/>
        <w:wordWrap/>
        <w:overflowPunct/>
        <w:autoSpaceDE w:val="0"/>
        <w:autoSpaceDN w:val="0"/>
        <w:bidi w:val="0"/>
        <w:adjustRightInd w:val="0"/>
        <w:spacing w:after="313" w:afterLines="100" w:line="500" w:lineRule="exact"/>
        <w:ind w:left="3360" w:leftChars="1400" w:right="61"/>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法定代表人或其委托代理人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签名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rPr>
        <w:t xml:space="preserve"> </w:t>
      </w:r>
    </w:p>
    <w:p w14:paraId="6F263689">
      <w:pPr>
        <w:keepNext w:val="0"/>
        <w:keepLines w:val="0"/>
        <w:pageBreakBefore w:val="0"/>
        <w:widowControl w:val="0"/>
        <w:kinsoku/>
        <w:wordWrap/>
        <w:overflowPunct/>
        <w:bidi w:val="0"/>
        <w:spacing w:after="313" w:afterLines="100" w:line="500" w:lineRule="exact"/>
        <w:ind w:left="3360" w:leftChars="1400" w:firstLine="0" w:firstLineChars="0"/>
        <w:textAlignment w:val="auto"/>
        <w:rPr>
          <w:rFonts w:hint="eastAsia" w:ascii="仿宋" w:hAnsi="仿宋" w:eastAsia="仿宋" w:cs="仿宋"/>
          <w:color w:val="auto"/>
          <w:sz w:val="24"/>
          <w:szCs w:val="24"/>
          <w:highlight w:val="none"/>
        </w:rPr>
        <w:sectPr>
          <w:pgSz w:w="11906" w:h="16838"/>
          <w:pgMar w:top="1440" w:right="1800" w:bottom="1440" w:left="1800" w:header="851" w:footer="992" w:gutter="0"/>
          <w:cols w:space="720" w:num="1"/>
          <w:docGrid w:type="lines" w:linePitch="312" w:charSpace="0"/>
        </w:sectPr>
      </w:pPr>
      <w:r>
        <w:rPr>
          <w:rFonts w:hint="eastAsia" w:ascii="仿宋" w:hAnsi="仿宋" w:eastAsia="仿宋" w:cs="仿宋"/>
          <w:color w:val="auto"/>
          <w:sz w:val="24"/>
          <w:szCs w:val="24"/>
          <w:highlight w:val="none"/>
        </w:rPr>
        <w:t>承诺时间：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bookmarkStart w:id="84" w:name="评标细则"/>
      <w:bookmarkEnd w:id="84"/>
    </w:p>
    <w:p w14:paraId="623245FA">
      <w:pPr>
        <w:jc w:val="center"/>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（五）其他资料</w:t>
      </w:r>
    </w:p>
    <w:p w14:paraId="1C6BE919">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default" w:ascii="仿宋" w:hAnsi="仿宋" w:eastAsia="仿宋" w:cs="仿宋"/>
          <w:b w:val="0"/>
          <w:bCs w:val="0"/>
          <w:color w:val="auto"/>
          <w:sz w:val="24"/>
          <w:szCs w:val="24"/>
          <w:highlight w:val="none"/>
          <w:lang w:val="en-US" w:eastAsia="zh-CN"/>
        </w:rPr>
      </w:pPr>
      <w:r>
        <w:rPr>
          <w:rFonts w:hint="default"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lang w:val="en-US" w:eastAsia="zh-CN"/>
        </w:rPr>
        <w:t>第三方送检：</w:t>
      </w:r>
      <w:r>
        <w:rPr>
          <w:rFonts w:hint="default" w:ascii="仿宋" w:hAnsi="仿宋" w:eastAsia="仿宋" w:cs="仿宋"/>
          <w:b w:val="0"/>
          <w:bCs w:val="0"/>
          <w:color w:val="auto"/>
          <w:sz w:val="24"/>
          <w:szCs w:val="24"/>
          <w:highlight w:val="none"/>
          <w:lang w:val="en-US" w:eastAsia="zh-CN"/>
        </w:rPr>
        <w:t>需提供第三方检测报告，须由具备CMA资质认定的检测机构出具，检测内容涵盖肉类、蔬菜、大米、食用油，且出具日期在响应文件递交截止日前6个月内。</w:t>
      </w:r>
    </w:p>
    <w:p w14:paraId="688820B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（2）溯源管理方案：</w:t>
      </w:r>
      <w:r>
        <w:rPr>
          <w:rFonts w:hint="eastAsia" w:ascii="仿宋" w:hAnsi="仿宋" w:eastAsia="仿宋" w:cs="仿宋"/>
          <w:b w:val="0"/>
          <w:bCs w:val="0"/>
          <w:color w:val="auto"/>
          <w:sz w:val="24"/>
          <w:szCs w:val="24"/>
          <w:highlight w:val="none"/>
          <w:lang w:val="en-US" w:eastAsia="zh-CN"/>
        </w:rPr>
        <w:t>提供溯源管理体系方案。</w:t>
      </w:r>
    </w:p>
    <w:p w14:paraId="36F268F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（3）应急预案：</w:t>
      </w:r>
      <w:r>
        <w:rPr>
          <w:rFonts w:hint="eastAsia" w:ascii="仿宋" w:hAnsi="仿宋" w:eastAsia="仿宋" w:cs="仿宋"/>
          <w:b w:val="0"/>
          <w:bCs w:val="0"/>
          <w:color w:val="auto"/>
          <w:sz w:val="24"/>
          <w:szCs w:val="24"/>
          <w:highlight w:val="none"/>
          <w:lang w:val="en-US" w:eastAsia="zh-CN"/>
        </w:rPr>
        <w:t>需提供应急预案。</w:t>
      </w:r>
    </w:p>
    <w:p w14:paraId="368EF23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（4）拟派团队：</w:t>
      </w:r>
      <w:r>
        <w:rPr>
          <w:rFonts w:hint="eastAsia" w:ascii="仿宋" w:hAnsi="仿宋" w:eastAsia="仿宋" w:cs="仿宋"/>
          <w:b w:val="0"/>
          <w:bCs w:val="0"/>
          <w:color w:val="auto"/>
          <w:sz w:val="24"/>
          <w:szCs w:val="24"/>
          <w:highlight w:val="none"/>
          <w:lang w:val="en-US" w:eastAsia="zh-CN"/>
        </w:rPr>
        <w:t>提供人员名单（内容包含姓名、性别、身份证号码、岗位职责）、相关证书（若有）、有效的健康证明及响应文件递交截止时间前6个月内为其缴纳的社保证明材料。</w:t>
      </w:r>
    </w:p>
    <w:p w14:paraId="3FF0272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（5）运输车辆：</w:t>
      </w:r>
    </w:p>
    <w:p w14:paraId="67365DA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自有车辆：提供车辆登记证、行驶证、车辆照片（包含整体车头、车厢侧面、车厢内部及尾部车牌照片各一张）及车辆保险扫描件并加盖公章；</w:t>
      </w:r>
    </w:p>
    <w:p w14:paraId="61E1223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both"/>
        <w:textAlignment w:val="auto"/>
        <w:rPr>
          <w:rFonts w:hint="default" w:ascii="仿宋" w:hAnsi="仿宋" w:eastAsia="仿宋" w:cs="仿宋"/>
          <w:b w:val="0"/>
          <w:bCs w:val="0"/>
          <w:color w:val="auto"/>
          <w:sz w:val="24"/>
          <w:szCs w:val="24"/>
          <w:highlight w:val="none"/>
          <w:lang w:val="en-US" w:eastAsia="zh-CN"/>
        </w:rPr>
      </w:pPr>
      <w:r>
        <w:rPr>
          <w:rFonts w:hint="default" w:ascii="仿宋" w:hAnsi="仿宋" w:eastAsia="仿宋" w:cs="仿宋"/>
          <w:b w:val="0"/>
          <w:bCs w:val="0"/>
          <w:color w:val="auto"/>
          <w:sz w:val="24"/>
          <w:szCs w:val="24"/>
          <w:highlight w:val="none"/>
          <w:lang w:val="en-US" w:eastAsia="zh-CN"/>
        </w:rPr>
        <w:t>租赁车辆</w:t>
      </w:r>
      <w:r>
        <w:rPr>
          <w:rFonts w:hint="eastAsia" w:ascii="仿宋" w:hAnsi="仿宋" w:eastAsia="仿宋" w:cs="仿宋"/>
          <w:b w:val="0"/>
          <w:bCs w:val="0"/>
          <w:color w:val="auto"/>
          <w:sz w:val="24"/>
          <w:szCs w:val="24"/>
          <w:highlight w:val="none"/>
          <w:lang w:val="en-US" w:eastAsia="zh-CN"/>
        </w:rPr>
        <w:t>：</w:t>
      </w:r>
      <w:r>
        <w:rPr>
          <w:rFonts w:hint="default" w:ascii="仿宋" w:hAnsi="仿宋" w:eastAsia="仿宋" w:cs="仿宋"/>
          <w:b w:val="0"/>
          <w:bCs w:val="0"/>
          <w:color w:val="auto"/>
          <w:sz w:val="24"/>
          <w:szCs w:val="24"/>
          <w:highlight w:val="none"/>
          <w:lang w:val="en-US" w:eastAsia="zh-CN"/>
        </w:rPr>
        <w:t>提供租赁合同</w:t>
      </w:r>
      <w:r>
        <w:rPr>
          <w:rFonts w:hint="eastAsia" w:ascii="仿宋" w:hAnsi="仿宋" w:eastAsia="仿宋" w:cs="仿宋"/>
          <w:b w:val="0"/>
          <w:bCs w:val="0"/>
          <w:color w:val="auto"/>
          <w:sz w:val="24"/>
          <w:szCs w:val="24"/>
          <w:highlight w:val="none"/>
          <w:lang w:val="en-US" w:eastAsia="zh-CN"/>
        </w:rPr>
        <w:t>（</w:t>
      </w:r>
      <w:r>
        <w:rPr>
          <w:rFonts w:hint="default" w:ascii="仿宋" w:hAnsi="仿宋" w:eastAsia="仿宋" w:cs="仿宋"/>
          <w:b w:val="0"/>
          <w:bCs w:val="0"/>
          <w:color w:val="auto"/>
          <w:sz w:val="24"/>
          <w:szCs w:val="24"/>
          <w:highlight w:val="none"/>
          <w:lang w:val="en-US" w:eastAsia="zh-CN"/>
        </w:rPr>
        <w:t>租赁合同期限需覆盖本项目服务期</w:t>
      </w:r>
      <w:r>
        <w:rPr>
          <w:rFonts w:hint="eastAsia" w:ascii="仿宋" w:hAnsi="仿宋" w:eastAsia="仿宋" w:cs="仿宋"/>
          <w:b w:val="0"/>
          <w:bCs w:val="0"/>
          <w:color w:val="auto"/>
          <w:sz w:val="24"/>
          <w:szCs w:val="24"/>
          <w:highlight w:val="none"/>
          <w:lang w:val="en-US" w:eastAsia="zh-CN"/>
        </w:rPr>
        <w:t>）</w:t>
      </w:r>
      <w:r>
        <w:rPr>
          <w:rFonts w:hint="default" w:ascii="仿宋" w:hAnsi="仿宋" w:eastAsia="仿宋" w:cs="仿宋"/>
          <w:b w:val="0"/>
          <w:bCs w:val="0"/>
          <w:color w:val="auto"/>
          <w:sz w:val="24"/>
          <w:szCs w:val="24"/>
          <w:highlight w:val="none"/>
          <w:lang w:val="en-US" w:eastAsia="zh-CN"/>
        </w:rPr>
        <w:t>、车辆登记证、行驶证、车辆照片</w:t>
      </w:r>
      <w:r>
        <w:rPr>
          <w:rFonts w:hint="eastAsia" w:ascii="仿宋" w:hAnsi="仿宋" w:eastAsia="仿宋" w:cs="仿宋"/>
          <w:b w:val="0"/>
          <w:bCs w:val="0"/>
          <w:color w:val="auto"/>
          <w:sz w:val="24"/>
          <w:szCs w:val="24"/>
          <w:highlight w:val="none"/>
          <w:lang w:val="en-US" w:eastAsia="zh-CN"/>
        </w:rPr>
        <w:t>（</w:t>
      </w:r>
      <w:r>
        <w:rPr>
          <w:rFonts w:hint="default" w:ascii="仿宋" w:hAnsi="仿宋" w:eastAsia="仿宋" w:cs="仿宋"/>
          <w:b w:val="0"/>
          <w:bCs w:val="0"/>
          <w:color w:val="auto"/>
          <w:sz w:val="24"/>
          <w:szCs w:val="24"/>
          <w:highlight w:val="none"/>
          <w:lang w:val="en-US" w:eastAsia="zh-CN"/>
        </w:rPr>
        <w:t>包含整体车头、车厢侧面、车厢内部及尾部车牌照片各一张</w:t>
      </w:r>
      <w:r>
        <w:rPr>
          <w:rFonts w:hint="eastAsia" w:ascii="仿宋" w:hAnsi="仿宋" w:eastAsia="仿宋" w:cs="仿宋"/>
          <w:b w:val="0"/>
          <w:bCs w:val="0"/>
          <w:color w:val="auto"/>
          <w:sz w:val="24"/>
          <w:szCs w:val="24"/>
          <w:highlight w:val="none"/>
          <w:lang w:val="en-US" w:eastAsia="zh-CN"/>
        </w:rPr>
        <w:t>）</w:t>
      </w:r>
      <w:r>
        <w:rPr>
          <w:rFonts w:hint="default" w:ascii="仿宋" w:hAnsi="仿宋" w:eastAsia="仿宋" w:cs="仿宋"/>
          <w:b w:val="0"/>
          <w:bCs w:val="0"/>
          <w:color w:val="auto"/>
          <w:sz w:val="24"/>
          <w:szCs w:val="24"/>
          <w:highlight w:val="none"/>
          <w:lang w:val="en-US" w:eastAsia="zh-CN"/>
        </w:rPr>
        <w:t>及车辆保险扫描件并加盖公章</w:t>
      </w:r>
      <w:r>
        <w:rPr>
          <w:rFonts w:hint="eastAsia" w:ascii="仿宋" w:hAnsi="仿宋" w:eastAsia="仿宋" w:cs="仿宋"/>
          <w:b w:val="0"/>
          <w:bCs w:val="0"/>
          <w:color w:val="auto"/>
          <w:sz w:val="24"/>
          <w:szCs w:val="24"/>
          <w:highlight w:val="none"/>
          <w:lang w:val="en-US" w:eastAsia="zh-CN"/>
        </w:rPr>
        <w:t>；</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2020603050405020304"/>
    <w:charset w:val="00"/>
    <w:family w:val="roman"/>
    <w:pitch w:val="default"/>
    <w:sig w:usb0="00000000" w:usb1="00000000" w:usb2="00000000" w:usb3="00000000" w:csb0="00000093"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KSOF6B657194">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59D2A">
    <w:pPr>
      <w:pStyle w:val="15"/>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950CC">
    <w:pPr>
      <w:pStyle w:val="15"/>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8420" cy="139700"/>
              <wp:effectExtent l="0" t="0" r="0" b="0"/>
              <wp:wrapNone/>
              <wp:docPr id="3"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5499E90C">
                          <w:pPr>
                            <w:pStyle w:val="15"/>
                          </w:pPr>
                          <w:r>
                            <w:fldChar w:fldCharType="begin"/>
                          </w:r>
                          <w:r>
                            <w:instrText xml:space="preserve"> PAGE  \* MERGEFORMAT </w:instrText>
                          </w:r>
                          <w:r>
                            <w:fldChar w:fldCharType="separate"/>
                          </w:r>
                          <w:r>
                            <w:rPr>
                              <w:lang w:val="en-US" w:eastAsia="zh-CN"/>
                            </w:rPr>
                            <w:t>1</w:t>
                          </w:r>
                          <w:r>
                            <w:fldChar w:fldCharType="end"/>
                          </w:r>
                        </w:p>
                      </w:txbxContent>
                    </wps:txbx>
                    <wps:bodyPr rot="0" vert="horz" wrap="none" lIns="0" tIns="0" rIns="0" bIns="0" anchor="t" anchorCtr="0" upright="1">
                      <a:spAutoFit/>
                    </wps:bodyPr>
                  </wps:wsp>
                </a:graphicData>
              </a:graphic>
            </wp:anchor>
          </w:drawing>
        </mc:Choice>
        <mc:Fallback>
          <w:pict>
            <v:shape id="文本框 7" o:spid="_x0000_s1026" o:spt="202" type="#_x0000_t202" style="position:absolute;left:0pt;margin-top:0pt;height:11pt;width:4.6pt;mso-position-horizontal:center;mso-position-horizontal-relative:margin;mso-wrap-style:none;z-index:251660288;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tbuXfQAAAAAgEAAA8AAAAAAAAAAQAgAAAAIgAAAGRycy9k&#10;b3ducmV2LnhtbFBLAQIUABQAAAAIAIdO4kB87YD+CgIAAAEEAAAOAAAAAAAAAAEAIAAAAB8BAABk&#10;cnMvZTJvRG9jLnhtbFBLBQYAAAAABgAGAFkBAACbBQAAAAA=&#10;">
              <v:fill on="f" focussize="0,0"/>
              <v:stroke on="f"/>
              <v:imagedata o:title=""/>
              <o:lock v:ext="edit" aspectratio="f"/>
              <v:textbox inset="0mm,0mm,0mm,0mm" style="mso-fit-shape-to-text:t;">
                <w:txbxContent>
                  <w:p w14:paraId="5499E90C">
                    <w:pPr>
                      <w:pStyle w:val="15"/>
                    </w:pPr>
                    <w:r>
                      <w:fldChar w:fldCharType="begin"/>
                    </w:r>
                    <w:r>
                      <w:instrText xml:space="preserve"> PAGE  \* MERGEFORMAT </w:instrText>
                    </w:r>
                    <w:r>
                      <w:fldChar w:fldCharType="separate"/>
                    </w:r>
                    <w:r>
                      <w:rPr>
                        <w:lang w:val="en-US" w:eastAsia="zh-CN"/>
                      </w:rP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7B11F">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1"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ffectLst/>
                    </wps:spPr>
                    <wps:txbx>
                      <w:txbxContent>
                        <w:p w14:paraId="123B4906">
                          <w:pPr>
                            <w:pStyle w:val="15"/>
                          </w:pPr>
                          <w:r>
                            <w:fldChar w:fldCharType="begin"/>
                          </w:r>
                          <w:r>
                            <w:instrText xml:space="preserve"> PAGE  \* MERGEFORMAT </w:instrText>
                          </w:r>
                          <w:r>
                            <w:fldChar w:fldCharType="separate"/>
                          </w:r>
                          <w:r>
                            <w:rPr>
                              <w:lang w:val="en-US" w:eastAsia="zh-CN"/>
                            </w:rPr>
                            <w:t>5</w:t>
                          </w:r>
                          <w:r>
                            <w:fldChar w:fldCharType="end"/>
                          </w:r>
                        </w:p>
                      </w:txbxContent>
                    </wps:txbx>
                    <wps:bodyPr rot="0" vert="horz" wrap="none" lIns="0" tIns="0" rIns="0" bIns="0" anchor="t" anchorCtr="0" upright="1">
                      <a:spAutoFit/>
                    </wps:bodyPr>
                  </wps:wsp>
                </a:graphicData>
              </a:graphic>
            </wp:anchor>
          </w:drawing>
        </mc:Choice>
        <mc:Fallback>
          <w:pict>
            <v:shape id="文本框 5"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&#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tbuXfQAAAAAgEAAA8AAAAAAAAAAQAgAAAAIgAAAGRy&#10;cy9kb3ducmV2LnhtbFBLAQIUABQAAAAIAIdO4kD+pCZHDQIAAA8EAAAOAAAAAAAAAAEAIAAAAB8B&#10;AABkcnMvZTJvRG9jLnhtbFBLBQYAAAAABgAGAFkBAACeBQAAAAA=&#10;">
              <v:fill on="f" focussize="0,0"/>
              <v:stroke on="f"/>
              <v:imagedata o:title=""/>
              <o:lock v:ext="edit" aspectratio="f"/>
              <v:textbox inset="0mm,0mm,0mm,0mm" style="mso-fit-shape-to-text:t;">
                <w:txbxContent>
                  <w:p w14:paraId="123B4906">
                    <w:pPr>
                      <w:pStyle w:val="15"/>
                    </w:pPr>
                    <w:r>
                      <w:fldChar w:fldCharType="begin"/>
                    </w:r>
                    <w:r>
                      <w:instrText xml:space="preserve"> PAGE  \* MERGEFORMAT </w:instrText>
                    </w:r>
                    <w:r>
                      <w:fldChar w:fldCharType="separate"/>
                    </w:r>
                    <w:r>
                      <w:rPr>
                        <w:lang w:val="en-US" w:eastAsia="zh-CN"/>
                      </w:rPr>
                      <w:t>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63549">
    <w:pPr>
      <w:pStyle w:val="16"/>
    </w:pPr>
  </w:p>
  <w:p w14:paraId="772D1260">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3ECD27"/>
    <w:multiLevelType w:val="multilevel"/>
    <w:tmpl w:val="A73ECD27"/>
    <w:lvl w:ilvl="0" w:tentative="0">
      <w:start w:val="1"/>
      <w:numFmt w:val="none"/>
      <w:suff w:val="nothing"/>
      <w:lvlText w:val="第一章"/>
      <w:lvlJc w:val="left"/>
      <w:pPr>
        <w:tabs>
          <w:tab w:val="left" w:pos="0"/>
        </w:tabs>
        <w:ind w:left="0" w:firstLine="402"/>
      </w:pPr>
      <w:rPr>
        <w:rFonts w:hint="default" w:ascii="宋体" w:hAnsi="宋体" w:eastAsia="宋体" w:cs="宋体"/>
        <w:sz w:val="40"/>
      </w:rPr>
    </w:lvl>
    <w:lvl w:ilvl="1" w:tentative="0">
      <w:start w:val="1"/>
      <w:numFmt w:val="decimal"/>
      <w:suff w:val="nothing"/>
      <w:lvlText w:val="%2."/>
      <w:lvlJc w:val="left"/>
      <w:pPr>
        <w:tabs>
          <w:tab w:val="left" w:pos="0"/>
        </w:tabs>
        <w:ind w:left="0" w:firstLine="402"/>
      </w:pPr>
      <w:rPr>
        <w:rFonts w:hint="default" w:ascii="宋体" w:hAnsi="宋体" w:eastAsia="宋体" w:cs="宋体"/>
        <w:sz w:val="36"/>
      </w:rPr>
    </w:lvl>
    <w:lvl w:ilvl="2" w:tentative="0">
      <w:start w:val="1"/>
      <w:numFmt w:val="decimal"/>
      <w:suff w:val="nothing"/>
      <w:lvlText w:val="%3.1"/>
      <w:lvlJc w:val="left"/>
      <w:pPr>
        <w:ind w:left="0" w:firstLine="402"/>
      </w:pPr>
      <w:rPr>
        <w:rFonts w:hint="default" w:ascii="宋体" w:hAnsi="宋体" w:eastAsia="宋体" w:cs="宋体"/>
        <w:sz w:val="32"/>
      </w:rPr>
    </w:lvl>
    <w:lvl w:ilvl="3" w:tentative="0">
      <w:start w:val="1"/>
      <w:numFmt w:val="none"/>
      <w:pStyle w:val="5"/>
      <w:suff w:val="nothing"/>
      <w:lvlText w:val="3.1.1"/>
      <w:lvlJc w:val="left"/>
      <w:pPr>
        <w:ind w:left="0" w:firstLine="402"/>
      </w:pPr>
      <w:rPr>
        <w:rFonts w:hint="default" w:ascii="宋体" w:hAnsi="宋体" w:eastAsia="宋体" w:cs="宋体"/>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D5D15C48"/>
    <w:multiLevelType w:val="multilevel"/>
    <w:tmpl w:val="D5D15C48"/>
    <w:lvl w:ilvl="0" w:tentative="0">
      <w:start w:val="1"/>
      <w:numFmt w:val="none"/>
      <w:pStyle w:val="2"/>
      <w:suff w:val="nothing"/>
      <w:lvlText w:val="第一章"/>
      <w:lvlJc w:val="left"/>
      <w:pPr>
        <w:tabs>
          <w:tab w:val="left" w:pos="0"/>
        </w:tabs>
        <w:ind w:left="0" w:firstLine="402"/>
      </w:pPr>
      <w:rPr>
        <w:rFonts w:hint="default" w:ascii="宋体" w:hAnsi="宋体" w:eastAsia="宋体" w:cs="宋体"/>
        <w:sz w:val="40"/>
      </w:rPr>
    </w:lvl>
    <w:lvl w:ilvl="1" w:tentative="0">
      <w:start w:val="1"/>
      <w:numFmt w:val="decimal"/>
      <w:pStyle w:val="3"/>
      <w:suff w:val="nothing"/>
      <w:lvlText w:val="%2."/>
      <w:lvlJc w:val="left"/>
      <w:pPr>
        <w:ind w:left="0" w:firstLine="402"/>
      </w:pPr>
      <w:rPr>
        <w:rFonts w:hint="default" w:ascii="宋体" w:hAnsi="宋体" w:eastAsia="宋体" w:cs="宋体"/>
        <w:sz w:val="36"/>
      </w:rPr>
    </w:lvl>
    <w:lvl w:ilvl="2" w:tentative="0">
      <w:start w:val="1"/>
      <w:numFmt w:val="decimal"/>
      <w:pStyle w:val="4"/>
      <w:suff w:val="nothing"/>
      <w:lvlText w:val="1.%3"/>
      <w:lvlJc w:val="left"/>
      <w:pPr>
        <w:tabs>
          <w:tab w:val="left" w:pos="0"/>
        </w:tabs>
        <w:ind w:left="0" w:firstLine="402"/>
      </w:pPr>
      <w:rPr>
        <w:rFonts w:hint="default" w:ascii="宋体" w:hAnsi="宋体" w:eastAsia="宋体" w:cs="宋体"/>
        <w:sz w:val="32"/>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2275393C"/>
    <w:multiLevelType w:val="singleLevel"/>
    <w:tmpl w:val="2275393C"/>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revisionView w:markup="0"/>
  <w:documentProtection w:enforcement="0"/>
  <w:defaultTabStop w:val="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JkMDgzMTQyZDRhOTY3OWI1ZmYyY2IyN2I0YWNlYzUifQ=="/>
  </w:docVars>
  <w:rsids>
    <w:rsidRoot w:val="2006120C"/>
    <w:rsid w:val="00001D51"/>
    <w:rsid w:val="00033517"/>
    <w:rsid w:val="000F3033"/>
    <w:rsid w:val="0013536E"/>
    <w:rsid w:val="0024688E"/>
    <w:rsid w:val="002C79EC"/>
    <w:rsid w:val="002D02C9"/>
    <w:rsid w:val="004B69DE"/>
    <w:rsid w:val="00567897"/>
    <w:rsid w:val="005B5F30"/>
    <w:rsid w:val="005C51E2"/>
    <w:rsid w:val="00640704"/>
    <w:rsid w:val="00692C06"/>
    <w:rsid w:val="006A46BE"/>
    <w:rsid w:val="006C0827"/>
    <w:rsid w:val="006C1E94"/>
    <w:rsid w:val="006F1B9B"/>
    <w:rsid w:val="0084618B"/>
    <w:rsid w:val="0089782E"/>
    <w:rsid w:val="008A367F"/>
    <w:rsid w:val="009944D0"/>
    <w:rsid w:val="00995766"/>
    <w:rsid w:val="009A55C6"/>
    <w:rsid w:val="009B3A05"/>
    <w:rsid w:val="009E2D10"/>
    <w:rsid w:val="009F518A"/>
    <w:rsid w:val="00A41AF0"/>
    <w:rsid w:val="00A45B07"/>
    <w:rsid w:val="00A92088"/>
    <w:rsid w:val="00B10D50"/>
    <w:rsid w:val="00B65D10"/>
    <w:rsid w:val="00B7695A"/>
    <w:rsid w:val="00B800D5"/>
    <w:rsid w:val="00BF4306"/>
    <w:rsid w:val="00C46EEF"/>
    <w:rsid w:val="00C63141"/>
    <w:rsid w:val="00C93778"/>
    <w:rsid w:val="00D822CF"/>
    <w:rsid w:val="00DB351D"/>
    <w:rsid w:val="00E16761"/>
    <w:rsid w:val="00E36350"/>
    <w:rsid w:val="00E36F25"/>
    <w:rsid w:val="00ED705C"/>
    <w:rsid w:val="00EE1528"/>
    <w:rsid w:val="00EE4783"/>
    <w:rsid w:val="00F56F3E"/>
    <w:rsid w:val="01471432"/>
    <w:rsid w:val="016B2FC0"/>
    <w:rsid w:val="01731B3C"/>
    <w:rsid w:val="0184537D"/>
    <w:rsid w:val="018B404E"/>
    <w:rsid w:val="018E2987"/>
    <w:rsid w:val="020E7CF9"/>
    <w:rsid w:val="022913A6"/>
    <w:rsid w:val="02482F0B"/>
    <w:rsid w:val="02611557"/>
    <w:rsid w:val="027173B2"/>
    <w:rsid w:val="027974C8"/>
    <w:rsid w:val="028A336A"/>
    <w:rsid w:val="02E203F7"/>
    <w:rsid w:val="030B6A41"/>
    <w:rsid w:val="032F44DE"/>
    <w:rsid w:val="0335682C"/>
    <w:rsid w:val="042656E3"/>
    <w:rsid w:val="042808C9"/>
    <w:rsid w:val="042D25A7"/>
    <w:rsid w:val="043D4A13"/>
    <w:rsid w:val="0449714B"/>
    <w:rsid w:val="045A11D9"/>
    <w:rsid w:val="04636113"/>
    <w:rsid w:val="047D70B5"/>
    <w:rsid w:val="04C27644"/>
    <w:rsid w:val="04CF4708"/>
    <w:rsid w:val="04E35A1E"/>
    <w:rsid w:val="056E657D"/>
    <w:rsid w:val="057C3593"/>
    <w:rsid w:val="05897A7F"/>
    <w:rsid w:val="05B246F1"/>
    <w:rsid w:val="05BF4537"/>
    <w:rsid w:val="06081F1A"/>
    <w:rsid w:val="068026FA"/>
    <w:rsid w:val="068C25DB"/>
    <w:rsid w:val="06AC3BB0"/>
    <w:rsid w:val="06D5093D"/>
    <w:rsid w:val="06E404BE"/>
    <w:rsid w:val="07237F09"/>
    <w:rsid w:val="0729012F"/>
    <w:rsid w:val="073E223A"/>
    <w:rsid w:val="07652D43"/>
    <w:rsid w:val="07AD7A2B"/>
    <w:rsid w:val="07BB3CF1"/>
    <w:rsid w:val="07C10E62"/>
    <w:rsid w:val="07D3482D"/>
    <w:rsid w:val="092661CC"/>
    <w:rsid w:val="092A6B4E"/>
    <w:rsid w:val="09612377"/>
    <w:rsid w:val="09711736"/>
    <w:rsid w:val="09984724"/>
    <w:rsid w:val="09B32A99"/>
    <w:rsid w:val="09DE7B82"/>
    <w:rsid w:val="0A117680"/>
    <w:rsid w:val="0A235210"/>
    <w:rsid w:val="0AFC15E8"/>
    <w:rsid w:val="0B7F08F7"/>
    <w:rsid w:val="0B8C638A"/>
    <w:rsid w:val="0C197589"/>
    <w:rsid w:val="0C306986"/>
    <w:rsid w:val="0C3E26EA"/>
    <w:rsid w:val="0C4834D8"/>
    <w:rsid w:val="0C4D28BD"/>
    <w:rsid w:val="0C847FD3"/>
    <w:rsid w:val="0CDD71F7"/>
    <w:rsid w:val="0D254DBC"/>
    <w:rsid w:val="0D40150B"/>
    <w:rsid w:val="0DD244C8"/>
    <w:rsid w:val="0DE668F0"/>
    <w:rsid w:val="0E4D2975"/>
    <w:rsid w:val="0E521767"/>
    <w:rsid w:val="0EA04106"/>
    <w:rsid w:val="0EF1693D"/>
    <w:rsid w:val="0F884495"/>
    <w:rsid w:val="0FC35F97"/>
    <w:rsid w:val="0FE87926"/>
    <w:rsid w:val="0FFF483E"/>
    <w:rsid w:val="10743A86"/>
    <w:rsid w:val="107F4645"/>
    <w:rsid w:val="10B81417"/>
    <w:rsid w:val="11297025"/>
    <w:rsid w:val="11384BA7"/>
    <w:rsid w:val="11523463"/>
    <w:rsid w:val="119E50BE"/>
    <w:rsid w:val="122357EE"/>
    <w:rsid w:val="123C5B58"/>
    <w:rsid w:val="12401AB8"/>
    <w:rsid w:val="13634EC3"/>
    <w:rsid w:val="13CF742F"/>
    <w:rsid w:val="13D34583"/>
    <w:rsid w:val="13D749A0"/>
    <w:rsid w:val="14234899"/>
    <w:rsid w:val="1424760F"/>
    <w:rsid w:val="14706BA3"/>
    <w:rsid w:val="150C0DE4"/>
    <w:rsid w:val="158D1C33"/>
    <w:rsid w:val="15972182"/>
    <w:rsid w:val="15EB0556"/>
    <w:rsid w:val="15F613A0"/>
    <w:rsid w:val="160C070B"/>
    <w:rsid w:val="164E147F"/>
    <w:rsid w:val="167839B0"/>
    <w:rsid w:val="16893F4C"/>
    <w:rsid w:val="169A66AA"/>
    <w:rsid w:val="16CA3413"/>
    <w:rsid w:val="16E55108"/>
    <w:rsid w:val="1701568E"/>
    <w:rsid w:val="17F7601A"/>
    <w:rsid w:val="182C42DF"/>
    <w:rsid w:val="183D0850"/>
    <w:rsid w:val="187240A4"/>
    <w:rsid w:val="18835D78"/>
    <w:rsid w:val="18F62423"/>
    <w:rsid w:val="18FA01A9"/>
    <w:rsid w:val="190B76EB"/>
    <w:rsid w:val="190F0C68"/>
    <w:rsid w:val="19306751"/>
    <w:rsid w:val="193E56D5"/>
    <w:rsid w:val="194C7C9D"/>
    <w:rsid w:val="1972340A"/>
    <w:rsid w:val="19911A88"/>
    <w:rsid w:val="19944E0D"/>
    <w:rsid w:val="19F86D93"/>
    <w:rsid w:val="1A1A3434"/>
    <w:rsid w:val="1A4B5E60"/>
    <w:rsid w:val="1A933D26"/>
    <w:rsid w:val="1AFA75C5"/>
    <w:rsid w:val="1B4B19D3"/>
    <w:rsid w:val="1B7A6DDD"/>
    <w:rsid w:val="1B811695"/>
    <w:rsid w:val="1B907E22"/>
    <w:rsid w:val="1BA957C6"/>
    <w:rsid w:val="1C2171D5"/>
    <w:rsid w:val="1C2D2553"/>
    <w:rsid w:val="1C5C0850"/>
    <w:rsid w:val="1C8013C6"/>
    <w:rsid w:val="1C823A49"/>
    <w:rsid w:val="1CCA3360"/>
    <w:rsid w:val="1CEF6147"/>
    <w:rsid w:val="1D0B79AF"/>
    <w:rsid w:val="1D441E5D"/>
    <w:rsid w:val="1D773B72"/>
    <w:rsid w:val="1DAA3129"/>
    <w:rsid w:val="1DC31CBE"/>
    <w:rsid w:val="1E6C4158"/>
    <w:rsid w:val="1E8D5163"/>
    <w:rsid w:val="1EB07441"/>
    <w:rsid w:val="1F260C07"/>
    <w:rsid w:val="1F845933"/>
    <w:rsid w:val="1FA959F2"/>
    <w:rsid w:val="1FAD562C"/>
    <w:rsid w:val="1FBC0F9D"/>
    <w:rsid w:val="2006120C"/>
    <w:rsid w:val="203D5D6C"/>
    <w:rsid w:val="206641CB"/>
    <w:rsid w:val="208512E0"/>
    <w:rsid w:val="20895988"/>
    <w:rsid w:val="20CD0201"/>
    <w:rsid w:val="20E61545"/>
    <w:rsid w:val="21371D65"/>
    <w:rsid w:val="2175327C"/>
    <w:rsid w:val="21944011"/>
    <w:rsid w:val="22217C35"/>
    <w:rsid w:val="22574C5E"/>
    <w:rsid w:val="225A7374"/>
    <w:rsid w:val="22725F6B"/>
    <w:rsid w:val="227A7658"/>
    <w:rsid w:val="23766EFC"/>
    <w:rsid w:val="23BE29B8"/>
    <w:rsid w:val="23C604D1"/>
    <w:rsid w:val="23D13B21"/>
    <w:rsid w:val="23FD1C9E"/>
    <w:rsid w:val="240C4BB0"/>
    <w:rsid w:val="242D52FC"/>
    <w:rsid w:val="245B5E24"/>
    <w:rsid w:val="24993B07"/>
    <w:rsid w:val="24A43F71"/>
    <w:rsid w:val="24D664DE"/>
    <w:rsid w:val="24F9229C"/>
    <w:rsid w:val="25024DDE"/>
    <w:rsid w:val="25032053"/>
    <w:rsid w:val="25562C1A"/>
    <w:rsid w:val="257A0A74"/>
    <w:rsid w:val="258D1980"/>
    <w:rsid w:val="25B61F3B"/>
    <w:rsid w:val="26B04094"/>
    <w:rsid w:val="26B1682B"/>
    <w:rsid w:val="27423919"/>
    <w:rsid w:val="277201B1"/>
    <w:rsid w:val="278E2369"/>
    <w:rsid w:val="27940080"/>
    <w:rsid w:val="27945455"/>
    <w:rsid w:val="27E20E07"/>
    <w:rsid w:val="27F87645"/>
    <w:rsid w:val="282F32ED"/>
    <w:rsid w:val="288822B5"/>
    <w:rsid w:val="28885326"/>
    <w:rsid w:val="28932542"/>
    <w:rsid w:val="28D1706F"/>
    <w:rsid w:val="29380E67"/>
    <w:rsid w:val="29462D43"/>
    <w:rsid w:val="296D2E3A"/>
    <w:rsid w:val="29B15AE3"/>
    <w:rsid w:val="2A0C6C21"/>
    <w:rsid w:val="2A3D54F9"/>
    <w:rsid w:val="2A43247C"/>
    <w:rsid w:val="2A584856"/>
    <w:rsid w:val="2A647DD0"/>
    <w:rsid w:val="2AA33B05"/>
    <w:rsid w:val="2B045D24"/>
    <w:rsid w:val="2B0A7E4D"/>
    <w:rsid w:val="2B1D67BA"/>
    <w:rsid w:val="2B6A5861"/>
    <w:rsid w:val="2BAE1109"/>
    <w:rsid w:val="2BC8561B"/>
    <w:rsid w:val="2BE33C0E"/>
    <w:rsid w:val="2C446FB7"/>
    <w:rsid w:val="2C7B6DA5"/>
    <w:rsid w:val="2D733D89"/>
    <w:rsid w:val="2DAC7E31"/>
    <w:rsid w:val="2DDC5B7F"/>
    <w:rsid w:val="2DE116A5"/>
    <w:rsid w:val="2DE4263F"/>
    <w:rsid w:val="2E8479A0"/>
    <w:rsid w:val="2E975000"/>
    <w:rsid w:val="2E9F7309"/>
    <w:rsid w:val="2EF87EBB"/>
    <w:rsid w:val="2FCB42DA"/>
    <w:rsid w:val="301205EA"/>
    <w:rsid w:val="307F6E88"/>
    <w:rsid w:val="30D703D3"/>
    <w:rsid w:val="310746D9"/>
    <w:rsid w:val="31A24681"/>
    <w:rsid w:val="31AC6FC7"/>
    <w:rsid w:val="31D36B71"/>
    <w:rsid w:val="328F4DE6"/>
    <w:rsid w:val="32A85078"/>
    <w:rsid w:val="32BD05C1"/>
    <w:rsid w:val="331A4C4B"/>
    <w:rsid w:val="33551721"/>
    <w:rsid w:val="337150A4"/>
    <w:rsid w:val="339737E6"/>
    <w:rsid w:val="33A51462"/>
    <w:rsid w:val="33F66E26"/>
    <w:rsid w:val="341B57F4"/>
    <w:rsid w:val="341D52E2"/>
    <w:rsid w:val="3447440B"/>
    <w:rsid w:val="350A780C"/>
    <w:rsid w:val="35CD056E"/>
    <w:rsid w:val="36025B3C"/>
    <w:rsid w:val="36324603"/>
    <w:rsid w:val="36462D9A"/>
    <w:rsid w:val="365E750D"/>
    <w:rsid w:val="3684408F"/>
    <w:rsid w:val="36C23A41"/>
    <w:rsid w:val="3755392D"/>
    <w:rsid w:val="376222B2"/>
    <w:rsid w:val="376A6F52"/>
    <w:rsid w:val="37B22E4A"/>
    <w:rsid w:val="37DA79C7"/>
    <w:rsid w:val="38007799"/>
    <w:rsid w:val="3840522F"/>
    <w:rsid w:val="386931EC"/>
    <w:rsid w:val="387B36CD"/>
    <w:rsid w:val="389F5CA7"/>
    <w:rsid w:val="38B317C0"/>
    <w:rsid w:val="38BF4014"/>
    <w:rsid w:val="38DA6777"/>
    <w:rsid w:val="38F27404"/>
    <w:rsid w:val="393036CB"/>
    <w:rsid w:val="39450082"/>
    <w:rsid w:val="394615CB"/>
    <w:rsid w:val="39C03C82"/>
    <w:rsid w:val="39CB074A"/>
    <w:rsid w:val="3A06211A"/>
    <w:rsid w:val="3A52154A"/>
    <w:rsid w:val="3AAE27EE"/>
    <w:rsid w:val="3ABB6DD8"/>
    <w:rsid w:val="3B0B28E8"/>
    <w:rsid w:val="3BDA5786"/>
    <w:rsid w:val="3BE50B93"/>
    <w:rsid w:val="3C68200B"/>
    <w:rsid w:val="3D1C31F5"/>
    <w:rsid w:val="3D5850D6"/>
    <w:rsid w:val="3DB177F5"/>
    <w:rsid w:val="3DFA148C"/>
    <w:rsid w:val="3E20000B"/>
    <w:rsid w:val="3E2F08FB"/>
    <w:rsid w:val="3E77258B"/>
    <w:rsid w:val="3EB561E1"/>
    <w:rsid w:val="3EBC7731"/>
    <w:rsid w:val="3F6A752B"/>
    <w:rsid w:val="3F8F2D59"/>
    <w:rsid w:val="3FAB22D5"/>
    <w:rsid w:val="3FC21E2F"/>
    <w:rsid w:val="3FFB307C"/>
    <w:rsid w:val="40404FA9"/>
    <w:rsid w:val="40D96845"/>
    <w:rsid w:val="410938E0"/>
    <w:rsid w:val="415E1ED8"/>
    <w:rsid w:val="41A447FD"/>
    <w:rsid w:val="41DA738F"/>
    <w:rsid w:val="41F57BE2"/>
    <w:rsid w:val="4207635A"/>
    <w:rsid w:val="423E471D"/>
    <w:rsid w:val="42416881"/>
    <w:rsid w:val="424E34D4"/>
    <w:rsid w:val="42D11AD9"/>
    <w:rsid w:val="42EE4CF1"/>
    <w:rsid w:val="432B3B11"/>
    <w:rsid w:val="435F6C4C"/>
    <w:rsid w:val="438F6A58"/>
    <w:rsid w:val="439B2983"/>
    <w:rsid w:val="43A16589"/>
    <w:rsid w:val="43EB2EB1"/>
    <w:rsid w:val="43EF2DCD"/>
    <w:rsid w:val="4425747D"/>
    <w:rsid w:val="44597C1B"/>
    <w:rsid w:val="447905FB"/>
    <w:rsid w:val="44A85F0E"/>
    <w:rsid w:val="44F1133E"/>
    <w:rsid w:val="45230884"/>
    <w:rsid w:val="455C5CEB"/>
    <w:rsid w:val="45957C39"/>
    <w:rsid w:val="45A515DF"/>
    <w:rsid w:val="45A871D6"/>
    <w:rsid w:val="46143451"/>
    <w:rsid w:val="466B04E9"/>
    <w:rsid w:val="468821B1"/>
    <w:rsid w:val="469146BB"/>
    <w:rsid w:val="46E32C24"/>
    <w:rsid w:val="46EA7EC6"/>
    <w:rsid w:val="46ED2E03"/>
    <w:rsid w:val="47280D5A"/>
    <w:rsid w:val="47617DDD"/>
    <w:rsid w:val="477079B1"/>
    <w:rsid w:val="479C7DF0"/>
    <w:rsid w:val="481E02A5"/>
    <w:rsid w:val="48284A31"/>
    <w:rsid w:val="48956893"/>
    <w:rsid w:val="4896303B"/>
    <w:rsid w:val="48B8654B"/>
    <w:rsid w:val="48C82735"/>
    <w:rsid w:val="499371A3"/>
    <w:rsid w:val="499D1D72"/>
    <w:rsid w:val="49AC469F"/>
    <w:rsid w:val="49B61F08"/>
    <w:rsid w:val="49BC7BD7"/>
    <w:rsid w:val="49C078A3"/>
    <w:rsid w:val="49E7156C"/>
    <w:rsid w:val="4A2026CB"/>
    <w:rsid w:val="4A250A63"/>
    <w:rsid w:val="4A7E1DB5"/>
    <w:rsid w:val="4AC33245"/>
    <w:rsid w:val="4AF8010B"/>
    <w:rsid w:val="4B277F06"/>
    <w:rsid w:val="4B441AE3"/>
    <w:rsid w:val="4B516F36"/>
    <w:rsid w:val="4B6F6898"/>
    <w:rsid w:val="4BB85697"/>
    <w:rsid w:val="4BED2E93"/>
    <w:rsid w:val="4C616B77"/>
    <w:rsid w:val="4C697822"/>
    <w:rsid w:val="4C792618"/>
    <w:rsid w:val="4C821E99"/>
    <w:rsid w:val="4D274CDD"/>
    <w:rsid w:val="4D6F1D12"/>
    <w:rsid w:val="4DAE585C"/>
    <w:rsid w:val="4DBB71F6"/>
    <w:rsid w:val="4DE36432"/>
    <w:rsid w:val="4DEA2712"/>
    <w:rsid w:val="4DF23BA9"/>
    <w:rsid w:val="4E16353F"/>
    <w:rsid w:val="4E1C4711"/>
    <w:rsid w:val="4E830532"/>
    <w:rsid w:val="4ED074DD"/>
    <w:rsid w:val="4F1C4541"/>
    <w:rsid w:val="4F3F5B57"/>
    <w:rsid w:val="4FAE7D5E"/>
    <w:rsid w:val="500C0D09"/>
    <w:rsid w:val="503C40EA"/>
    <w:rsid w:val="50837DA4"/>
    <w:rsid w:val="50B77B07"/>
    <w:rsid w:val="50C437A2"/>
    <w:rsid w:val="50DB72C0"/>
    <w:rsid w:val="50E25BB5"/>
    <w:rsid w:val="510F4195"/>
    <w:rsid w:val="51363DAD"/>
    <w:rsid w:val="518A50D1"/>
    <w:rsid w:val="51C40843"/>
    <w:rsid w:val="51CF3489"/>
    <w:rsid w:val="520A4F8C"/>
    <w:rsid w:val="52400EF9"/>
    <w:rsid w:val="52626DB3"/>
    <w:rsid w:val="52881CAE"/>
    <w:rsid w:val="528B1446"/>
    <w:rsid w:val="52AB4BC6"/>
    <w:rsid w:val="52E47EBC"/>
    <w:rsid w:val="53713458"/>
    <w:rsid w:val="539B01A9"/>
    <w:rsid w:val="53CE63B5"/>
    <w:rsid w:val="546C69CA"/>
    <w:rsid w:val="55205C5D"/>
    <w:rsid w:val="555E3990"/>
    <w:rsid w:val="559F6ED3"/>
    <w:rsid w:val="55A559A5"/>
    <w:rsid w:val="55D10701"/>
    <w:rsid w:val="56516EDE"/>
    <w:rsid w:val="56691C0E"/>
    <w:rsid w:val="568C5674"/>
    <w:rsid w:val="56941FB1"/>
    <w:rsid w:val="570E5995"/>
    <w:rsid w:val="57852D80"/>
    <w:rsid w:val="57876EF9"/>
    <w:rsid w:val="57AF036A"/>
    <w:rsid w:val="584A3D97"/>
    <w:rsid w:val="585D737F"/>
    <w:rsid w:val="58601AF1"/>
    <w:rsid w:val="588C2C9A"/>
    <w:rsid w:val="58BD16F5"/>
    <w:rsid w:val="592E1DCE"/>
    <w:rsid w:val="59A84B05"/>
    <w:rsid w:val="59E827C4"/>
    <w:rsid w:val="5A031E39"/>
    <w:rsid w:val="5A0F7891"/>
    <w:rsid w:val="5A8B33BB"/>
    <w:rsid w:val="5ABC515E"/>
    <w:rsid w:val="5AFD6893"/>
    <w:rsid w:val="5B6A5C30"/>
    <w:rsid w:val="5B7C1EA5"/>
    <w:rsid w:val="5BCA1DA4"/>
    <w:rsid w:val="5BDB19E8"/>
    <w:rsid w:val="5BF84411"/>
    <w:rsid w:val="5C10302B"/>
    <w:rsid w:val="5C3B5FDC"/>
    <w:rsid w:val="5C793380"/>
    <w:rsid w:val="5CA8160A"/>
    <w:rsid w:val="5CB71649"/>
    <w:rsid w:val="5CC04F2B"/>
    <w:rsid w:val="5D113CB0"/>
    <w:rsid w:val="5D2243BB"/>
    <w:rsid w:val="5DA47FA0"/>
    <w:rsid w:val="5E2324E7"/>
    <w:rsid w:val="5E8D47B7"/>
    <w:rsid w:val="5E8E13E1"/>
    <w:rsid w:val="5E9A5F0B"/>
    <w:rsid w:val="5EB763DD"/>
    <w:rsid w:val="5ED459C9"/>
    <w:rsid w:val="5F3E0450"/>
    <w:rsid w:val="60555A41"/>
    <w:rsid w:val="60D35963"/>
    <w:rsid w:val="613D1F5B"/>
    <w:rsid w:val="618F0100"/>
    <w:rsid w:val="61E462B1"/>
    <w:rsid w:val="62524D95"/>
    <w:rsid w:val="62B774CE"/>
    <w:rsid w:val="62D74326"/>
    <w:rsid w:val="638C5AAE"/>
    <w:rsid w:val="63BA0754"/>
    <w:rsid w:val="63BD2B4A"/>
    <w:rsid w:val="64162322"/>
    <w:rsid w:val="644C47CC"/>
    <w:rsid w:val="64845356"/>
    <w:rsid w:val="64E7422F"/>
    <w:rsid w:val="64E9122D"/>
    <w:rsid w:val="652B737F"/>
    <w:rsid w:val="654B061E"/>
    <w:rsid w:val="655D070B"/>
    <w:rsid w:val="656744F1"/>
    <w:rsid w:val="6573415C"/>
    <w:rsid w:val="659C2E6A"/>
    <w:rsid w:val="66453790"/>
    <w:rsid w:val="66620195"/>
    <w:rsid w:val="66673C0F"/>
    <w:rsid w:val="66731E90"/>
    <w:rsid w:val="6685773F"/>
    <w:rsid w:val="66FC55ED"/>
    <w:rsid w:val="671A2AAE"/>
    <w:rsid w:val="674C37F9"/>
    <w:rsid w:val="678D79A7"/>
    <w:rsid w:val="679342DB"/>
    <w:rsid w:val="67B93084"/>
    <w:rsid w:val="67BB199C"/>
    <w:rsid w:val="67BF6439"/>
    <w:rsid w:val="67DC486D"/>
    <w:rsid w:val="681E72BF"/>
    <w:rsid w:val="685E2D55"/>
    <w:rsid w:val="68684C0A"/>
    <w:rsid w:val="69167501"/>
    <w:rsid w:val="693E1119"/>
    <w:rsid w:val="6967039B"/>
    <w:rsid w:val="69857937"/>
    <w:rsid w:val="698A5BCA"/>
    <w:rsid w:val="69985F69"/>
    <w:rsid w:val="69995A05"/>
    <w:rsid w:val="69F844CD"/>
    <w:rsid w:val="6A164324"/>
    <w:rsid w:val="6A292945"/>
    <w:rsid w:val="6A2E5B11"/>
    <w:rsid w:val="6A4A488F"/>
    <w:rsid w:val="6AAB5CB0"/>
    <w:rsid w:val="6ABA4326"/>
    <w:rsid w:val="6ACB6A4C"/>
    <w:rsid w:val="6AFC4D71"/>
    <w:rsid w:val="6B541AF3"/>
    <w:rsid w:val="6B707A37"/>
    <w:rsid w:val="6BB06BE0"/>
    <w:rsid w:val="6BBB0E9D"/>
    <w:rsid w:val="6C113F60"/>
    <w:rsid w:val="6C3E68A5"/>
    <w:rsid w:val="6C6475F3"/>
    <w:rsid w:val="6C6771D6"/>
    <w:rsid w:val="6CA71D3C"/>
    <w:rsid w:val="6CDE031D"/>
    <w:rsid w:val="6D254FA9"/>
    <w:rsid w:val="6D29067D"/>
    <w:rsid w:val="6D673814"/>
    <w:rsid w:val="6D9E1598"/>
    <w:rsid w:val="6E080A13"/>
    <w:rsid w:val="6EEC714B"/>
    <w:rsid w:val="6F236875"/>
    <w:rsid w:val="6F3D0818"/>
    <w:rsid w:val="6F975E9F"/>
    <w:rsid w:val="6FFE29CE"/>
    <w:rsid w:val="70167AB8"/>
    <w:rsid w:val="701A625D"/>
    <w:rsid w:val="70366996"/>
    <w:rsid w:val="70565553"/>
    <w:rsid w:val="70DC534E"/>
    <w:rsid w:val="70F4495C"/>
    <w:rsid w:val="70F73665"/>
    <w:rsid w:val="70FC2E7C"/>
    <w:rsid w:val="719D0918"/>
    <w:rsid w:val="71E10C1A"/>
    <w:rsid w:val="723D69EF"/>
    <w:rsid w:val="727866C0"/>
    <w:rsid w:val="72B53484"/>
    <w:rsid w:val="72DA7709"/>
    <w:rsid w:val="72E41BFF"/>
    <w:rsid w:val="72E70DC2"/>
    <w:rsid w:val="736F727F"/>
    <w:rsid w:val="73A56E44"/>
    <w:rsid w:val="73A72DC1"/>
    <w:rsid w:val="73B85B73"/>
    <w:rsid w:val="742D2A7D"/>
    <w:rsid w:val="744D6942"/>
    <w:rsid w:val="74B44B4A"/>
    <w:rsid w:val="75056BCA"/>
    <w:rsid w:val="75353590"/>
    <w:rsid w:val="759622F7"/>
    <w:rsid w:val="75B23B6B"/>
    <w:rsid w:val="76670B7B"/>
    <w:rsid w:val="76AB26E8"/>
    <w:rsid w:val="770B0A82"/>
    <w:rsid w:val="77106B53"/>
    <w:rsid w:val="771D6320"/>
    <w:rsid w:val="775459CA"/>
    <w:rsid w:val="77A71D85"/>
    <w:rsid w:val="77E717D4"/>
    <w:rsid w:val="77E752B8"/>
    <w:rsid w:val="77EE481B"/>
    <w:rsid w:val="77F30E29"/>
    <w:rsid w:val="781C23C5"/>
    <w:rsid w:val="7887380A"/>
    <w:rsid w:val="789C1F70"/>
    <w:rsid w:val="78A3791F"/>
    <w:rsid w:val="78BE6A74"/>
    <w:rsid w:val="78CE4E01"/>
    <w:rsid w:val="78DB46E5"/>
    <w:rsid w:val="79122332"/>
    <w:rsid w:val="791E374E"/>
    <w:rsid w:val="791F1764"/>
    <w:rsid w:val="79301F93"/>
    <w:rsid w:val="79C15B4E"/>
    <w:rsid w:val="79C81FFD"/>
    <w:rsid w:val="79FC0252"/>
    <w:rsid w:val="7A093373"/>
    <w:rsid w:val="7A6E45FD"/>
    <w:rsid w:val="7AA3720F"/>
    <w:rsid w:val="7AD30A3B"/>
    <w:rsid w:val="7AD831A1"/>
    <w:rsid w:val="7B472A31"/>
    <w:rsid w:val="7B6A6EB6"/>
    <w:rsid w:val="7B8F2FE5"/>
    <w:rsid w:val="7B9C2847"/>
    <w:rsid w:val="7BA56A67"/>
    <w:rsid w:val="7C2E5A7B"/>
    <w:rsid w:val="7CE6443D"/>
    <w:rsid w:val="7CF13E70"/>
    <w:rsid w:val="7D146DE8"/>
    <w:rsid w:val="7D63111B"/>
    <w:rsid w:val="7D9F7F47"/>
    <w:rsid w:val="7E483537"/>
    <w:rsid w:val="7E542E09"/>
    <w:rsid w:val="7E6C04DB"/>
    <w:rsid w:val="7ECC44E4"/>
    <w:rsid w:val="7EDB4B58"/>
    <w:rsid w:val="7F660BE3"/>
    <w:rsid w:val="7FA84F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4"/>
      <w:szCs w:val="24"/>
      <w:lang w:val="en-US" w:eastAsia="zh-CN" w:bidi="ar-SA"/>
    </w:rPr>
  </w:style>
  <w:style w:type="paragraph" w:styleId="2">
    <w:name w:val="heading 1"/>
    <w:basedOn w:val="1"/>
    <w:next w:val="1"/>
    <w:autoRedefine/>
    <w:qFormat/>
    <w:uiPriority w:val="0"/>
    <w:pPr>
      <w:keepNext/>
      <w:keepLines/>
      <w:numPr>
        <w:ilvl w:val="0"/>
        <w:numId w:val="1"/>
      </w:numPr>
      <w:spacing w:before="220" w:after="90" w:line="360" w:lineRule="auto"/>
      <w:outlineLvl w:val="0"/>
    </w:pPr>
    <w:rPr>
      <w:b/>
      <w:kern w:val="44"/>
      <w:sz w:val="44"/>
    </w:rPr>
  </w:style>
  <w:style w:type="paragraph" w:styleId="3">
    <w:name w:val="heading 2"/>
    <w:basedOn w:val="1"/>
    <w:next w:val="1"/>
    <w:autoRedefine/>
    <w:qFormat/>
    <w:uiPriority w:val="0"/>
    <w:pPr>
      <w:keepNext/>
      <w:keepLines/>
      <w:numPr>
        <w:ilvl w:val="1"/>
        <w:numId w:val="1"/>
      </w:numPr>
      <w:spacing w:before="140" w:after="20" w:line="360" w:lineRule="auto"/>
      <w:ind w:firstLine="0"/>
      <w:outlineLvl w:val="1"/>
    </w:pPr>
    <w:rPr>
      <w:rFonts w:ascii="Arial" w:hAnsi="Arial" w:eastAsia="黑体"/>
      <w:b/>
      <w:sz w:val="32"/>
    </w:rPr>
  </w:style>
  <w:style w:type="paragraph" w:styleId="4">
    <w:name w:val="heading 3"/>
    <w:basedOn w:val="1"/>
    <w:next w:val="1"/>
    <w:link w:val="34"/>
    <w:qFormat/>
    <w:uiPriority w:val="0"/>
    <w:pPr>
      <w:keepNext/>
      <w:keepLines/>
      <w:numPr>
        <w:ilvl w:val="2"/>
        <w:numId w:val="1"/>
      </w:numPr>
      <w:spacing w:before="140" w:after="140" w:line="360" w:lineRule="auto"/>
      <w:ind w:firstLine="0"/>
      <w:outlineLvl w:val="2"/>
    </w:pPr>
    <w:rPr>
      <w:rFonts w:ascii="Times New Roman" w:hAnsi="Times New Roman"/>
      <w:b/>
      <w:kern w:val="0"/>
      <w:sz w:val="32"/>
      <w:szCs w:val="20"/>
      <w:lang w:val="zh-CN" w:eastAsia="zh-CN"/>
    </w:rPr>
  </w:style>
  <w:style w:type="paragraph" w:styleId="5">
    <w:name w:val="heading 4"/>
    <w:basedOn w:val="1"/>
    <w:next w:val="1"/>
    <w:link w:val="35"/>
    <w:autoRedefine/>
    <w:qFormat/>
    <w:uiPriority w:val="0"/>
    <w:pPr>
      <w:keepNext/>
      <w:keepLines/>
      <w:numPr>
        <w:ilvl w:val="3"/>
        <w:numId w:val="2"/>
      </w:numPr>
      <w:spacing w:before="40" w:after="40" w:line="360" w:lineRule="auto"/>
      <w:ind w:firstLine="0"/>
      <w:outlineLvl w:val="3"/>
    </w:pPr>
    <w:rPr>
      <w:rFonts w:ascii="Arial" w:hAnsi="Arial"/>
      <w:kern w:val="0"/>
      <w:szCs w:val="20"/>
      <w:lang w:val="zh-CN" w:eastAsia="zh-CN"/>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25">
    <w:name w:val="Default Paragraph Font"/>
    <w:autoRedefine/>
    <w:semiHidden/>
    <w:qFormat/>
    <w:uiPriority w:val="0"/>
  </w:style>
  <w:style w:type="table" w:default="1" w:styleId="23">
    <w:name w:val="Normal Table"/>
    <w:autoRedefine/>
    <w:semiHidden/>
    <w:qFormat/>
    <w:uiPriority w:val="0"/>
    <w:tblPr>
      <w:tblCellMar>
        <w:top w:w="0" w:type="dxa"/>
        <w:left w:w="108" w:type="dxa"/>
        <w:bottom w:w="0" w:type="dxa"/>
        <w:right w:w="108" w:type="dxa"/>
      </w:tblCellMar>
    </w:tblPr>
  </w:style>
  <w:style w:type="paragraph" w:styleId="7">
    <w:name w:val="index 8"/>
    <w:basedOn w:val="1"/>
    <w:next w:val="1"/>
    <w:autoRedefine/>
    <w:qFormat/>
    <w:uiPriority w:val="0"/>
    <w:pPr>
      <w:tabs>
        <w:tab w:val="left" w:pos="540"/>
        <w:tab w:val="left" w:pos="900"/>
      </w:tabs>
      <w:jc w:val="center"/>
    </w:pPr>
    <w:rPr>
      <w:rFonts w:ascii="宋体" w:hAnsi="宋体" w:cs="宋体"/>
      <w:color w:val="000000"/>
      <w:sz w:val="32"/>
      <w:szCs w:val="32"/>
    </w:rPr>
  </w:style>
  <w:style w:type="paragraph" w:styleId="8">
    <w:name w:val="Normal Indent"/>
    <w:basedOn w:val="1"/>
    <w:autoRedefine/>
    <w:qFormat/>
    <w:uiPriority w:val="99"/>
    <w:pPr>
      <w:widowControl/>
      <w:autoSpaceDE w:val="0"/>
      <w:autoSpaceDN w:val="0"/>
      <w:adjustRightInd w:val="0"/>
      <w:spacing w:before="100" w:after="50" w:line="360" w:lineRule="auto"/>
      <w:ind w:firstLine="420" w:firstLineChars="200"/>
      <w:jc w:val="left"/>
    </w:pPr>
    <w:rPr>
      <w:rFonts w:ascii="CG Times" w:hAnsi="CG Times"/>
      <w:kern w:val="0"/>
    </w:rPr>
  </w:style>
  <w:style w:type="paragraph" w:styleId="9">
    <w:name w:val="Body Text"/>
    <w:basedOn w:val="1"/>
    <w:next w:val="10"/>
    <w:autoRedefine/>
    <w:unhideWhenUsed/>
    <w:qFormat/>
    <w:uiPriority w:val="99"/>
    <w:pPr>
      <w:spacing w:after="120"/>
    </w:pPr>
  </w:style>
  <w:style w:type="paragraph" w:customStyle="1" w:styleId="10">
    <w:name w:val="Default"/>
    <w:unhideWhenUsed/>
    <w:qFormat/>
    <w:uiPriority w:val="0"/>
    <w:pPr>
      <w:widowControl w:val="0"/>
      <w:autoSpaceDE w:val="0"/>
      <w:autoSpaceDN w:val="0"/>
    </w:pPr>
    <w:rPr>
      <w:rFonts w:hint="eastAsia" w:ascii="宋体" w:hAnsi="宋体" w:eastAsia="宋体" w:cs="Times New Roman"/>
      <w:color w:val="000000"/>
      <w:sz w:val="24"/>
      <w:lang w:val="en-US" w:eastAsia="zh-CN" w:bidi="ar-SA"/>
    </w:rPr>
  </w:style>
  <w:style w:type="paragraph" w:styleId="11">
    <w:name w:val="Body Text Indent"/>
    <w:basedOn w:val="1"/>
    <w:next w:val="1"/>
    <w:autoRedefine/>
    <w:qFormat/>
    <w:uiPriority w:val="0"/>
    <w:pPr>
      <w:ind w:firstLine="538" w:firstLineChars="192"/>
    </w:pPr>
    <w:rPr>
      <w:sz w:val="28"/>
    </w:rPr>
  </w:style>
  <w:style w:type="paragraph" w:styleId="12">
    <w:name w:val="Block Text"/>
    <w:basedOn w:val="1"/>
    <w:autoRedefine/>
    <w:qFormat/>
    <w:uiPriority w:val="0"/>
    <w:pPr>
      <w:spacing w:after="120"/>
      <w:ind w:leftChars="700" w:rightChars="700"/>
    </w:pPr>
  </w:style>
  <w:style w:type="paragraph" w:styleId="13">
    <w:name w:val="toc 3"/>
    <w:basedOn w:val="1"/>
    <w:next w:val="1"/>
    <w:qFormat/>
    <w:uiPriority w:val="0"/>
    <w:pPr>
      <w:ind w:left="840" w:leftChars="400"/>
    </w:pPr>
  </w:style>
  <w:style w:type="paragraph" w:styleId="14">
    <w:name w:val="Plain Text"/>
    <w:basedOn w:val="1"/>
    <w:autoRedefine/>
    <w:unhideWhenUsed/>
    <w:qFormat/>
    <w:uiPriority w:val="0"/>
    <w:rPr>
      <w:rFonts w:hint="eastAsia" w:ascii="宋体" w:hAnsi="Courier New"/>
      <w:sz w:val="20"/>
    </w:rPr>
  </w:style>
  <w:style w:type="paragraph" w:styleId="15">
    <w:name w:val="footer"/>
    <w:basedOn w:val="1"/>
    <w:autoRedefine/>
    <w:qFormat/>
    <w:uiPriority w:val="0"/>
    <w:pPr>
      <w:tabs>
        <w:tab w:val="center" w:pos="4153"/>
        <w:tab w:val="right" w:pos="8306"/>
      </w:tabs>
      <w:snapToGrid w:val="0"/>
      <w:jc w:val="left"/>
    </w:pPr>
    <w:rPr>
      <w:sz w:val="18"/>
    </w:rPr>
  </w:style>
  <w:style w:type="paragraph" w:styleId="1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7">
    <w:name w:val="toc 1"/>
    <w:basedOn w:val="1"/>
    <w:next w:val="1"/>
    <w:autoRedefine/>
    <w:qFormat/>
    <w:uiPriority w:val="0"/>
  </w:style>
  <w:style w:type="paragraph" w:styleId="18">
    <w:name w:val="toc 2"/>
    <w:basedOn w:val="1"/>
    <w:next w:val="1"/>
    <w:autoRedefine/>
    <w:unhideWhenUsed/>
    <w:qFormat/>
    <w:uiPriority w:val="39"/>
    <w:pPr>
      <w:ind w:left="420" w:leftChars="200"/>
    </w:pPr>
  </w:style>
  <w:style w:type="paragraph" w:styleId="19">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rPr>
  </w:style>
  <w:style w:type="paragraph" w:styleId="20">
    <w:name w:val="Normal (Web)"/>
    <w:basedOn w:val="1"/>
    <w:autoRedefine/>
    <w:qFormat/>
    <w:uiPriority w:val="0"/>
    <w:pPr>
      <w:jc w:val="left"/>
    </w:pPr>
    <w:rPr>
      <w:kern w:val="0"/>
    </w:rPr>
  </w:style>
  <w:style w:type="paragraph" w:styleId="21">
    <w:name w:val="Body Text First Indent"/>
    <w:basedOn w:val="9"/>
    <w:next w:val="9"/>
    <w:qFormat/>
    <w:uiPriority w:val="0"/>
    <w:pPr>
      <w:widowControl/>
      <w:tabs>
        <w:tab w:val="left" w:pos="0"/>
      </w:tabs>
      <w:spacing w:after="156"/>
      <w:ind w:left="425"/>
      <w:jc w:val="left"/>
    </w:pPr>
    <w:rPr>
      <w:sz w:val="28"/>
      <w:szCs w:val="28"/>
    </w:rPr>
  </w:style>
  <w:style w:type="paragraph" w:styleId="22">
    <w:name w:val="Body Text First Indent 2"/>
    <w:basedOn w:val="11"/>
    <w:next w:val="21"/>
    <w:qFormat/>
    <w:uiPriority w:val="0"/>
    <w:pPr>
      <w:ind w:firstLine="420" w:firstLineChars="200"/>
    </w:pPr>
    <w:rPr>
      <w:rFonts w:ascii="Times New Roman" w:hAnsi="Times New Roman"/>
    </w:rPr>
  </w:style>
  <w:style w:type="table" w:styleId="24">
    <w:name w:val="Table Grid"/>
    <w:basedOn w:val="23"/>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autoRedefine/>
    <w:qFormat/>
    <w:uiPriority w:val="0"/>
    <w:rPr>
      <w:b/>
    </w:rPr>
  </w:style>
  <w:style w:type="character" w:styleId="27">
    <w:name w:val="FollowedHyperlink"/>
    <w:basedOn w:val="25"/>
    <w:autoRedefine/>
    <w:semiHidden/>
    <w:unhideWhenUsed/>
    <w:qFormat/>
    <w:uiPriority w:val="99"/>
    <w:rPr>
      <w:color w:val="800080"/>
      <w:u w:val="single"/>
    </w:rPr>
  </w:style>
  <w:style w:type="character" w:styleId="28">
    <w:name w:val="Emphasis"/>
    <w:basedOn w:val="25"/>
    <w:autoRedefine/>
    <w:qFormat/>
    <w:uiPriority w:val="0"/>
  </w:style>
  <w:style w:type="character" w:styleId="29">
    <w:name w:val="HTML Definition"/>
    <w:basedOn w:val="25"/>
    <w:autoRedefine/>
    <w:qFormat/>
    <w:uiPriority w:val="0"/>
    <w:rPr>
      <w:i/>
    </w:rPr>
  </w:style>
  <w:style w:type="character" w:styleId="30">
    <w:name w:val="Hyperlink"/>
    <w:basedOn w:val="25"/>
    <w:autoRedefine/>
    <w:qFormat/>
    <w:uiPriority w:val="99"/>
    <w:rPr>
      <w:rFonts w:cs="Times New Roman"/>
      <w:color w:val="0000FF"/>
      <w:u w:val="single"/>
    </w:rPr>
  </w:style>
  <w:style w:type="character" w:styleId="31">
    <w:name w:val="HTML Code"/>
    <w:basedOn w:val="25"/>
    <w:autoRedefine/>
    <w:qFormat/>
    <w:uiPriority w:val="0"/>
    <w:rPr>
      <w:rFonts w:ascii="Courier New" w:hAnsi="Courier New"/>
      <w:sz w:val="20"/>
    </w:rPr>
  </w:style>
  <w:style w:type="character" w:styleId="32">
    <w:name w:val="HTML Cite"/>
    <w:basedOn w:val="25"/>
    <w:autoRedefine/>
    <w:qFormat/>
    <w:uiPriority w:val="0"/>
  </w:style>
  <w:style w:type="paragraph" w:customStyle="1" w:styleId="33">
    <w:name w:val="列出段落1"/>
    <w:basedOn w:val="1"/>
    <w:qFormat/>
    <w:uiPriority w:val="34"/>
    <w:pPr>
      <w:ind w:firstLine="420" w:firstLineChars="200"/>
    </w:pPr>
    <w:rPr>
      <w:rFonts w:ascii="Calibri" w:hAnsi="Calibri"/>
      <w:szCs w:val="22"/>
    </w:rPr>
  </w:style>
  <w:style w:type="character" w:customStyle="1" w:styleId="34">
    <w:name w:val="标题 3 Char"/>
    <w:link w:val="4"/>
    <w:qFormat/>
    <w:uiPriority w:val="0"/>
    <w:rPr>
      <w:b/>
      <w:sz w:val="32"/>
    </w:rPr>
  </w:style>
  <w:style w:type="character" w:customStyle="1" w:styleId="35">
    <w:name w:val="标题 4 Char"/>
    <w:link w:val="5"/>
    <w:qFormat/>
    <w:uiPriority w:val="0"/>
    <w:rPr>
      <w:rFonts w:ascii="Arial" w:hAnsi="Arial" w:eastAsia="宋体"/>
      <w:sz w:val="24"/>
    </w:rPr>
  </w:style>
  <w:style w:type="paragraph" w:customStyle="1" w:styleId="36">
    <w:name w:val="目录 11"/>
    <w:basedOn w:val="1"/>
    <w:next w:val="1"/>
    <w:qFormat/>
    <w:uiPriority w:val="0"/>
  </w:style>
  <w:style w:type="paragraph" w:customStyle="1" w:styleId="37">
    <w:name w:val="目录 21"/>
    <w:basedOn w:val="1"/>
    <w:next w:val="1"/>
    <w:unhideWhenUsed/>
    <w:qFormat/>
    <w:uiPriority w:val="39"/>
    <w:pPr>
      <w:ind w:left="210"/>
    </w:pPr>
    <w:rPr>
      <w:smallCaps/>
    </w:rPr>
  </w:style>
  <w:style w:type="character" w:customStyle="1" w:styleId="38">
    <w:name w:val="已访问的超链接1"/>
    <w:basedOn w:val="25"/>
    <w:qFormat/>
    <w:uiPriority w:val="0"/>
    <w:rPr>
      <w:color w:val="333333"/>
      <w:u w:val="none"/>
    </w:rPr>
  </w:style>
  <w:style w:type="character" w:customStyle="1" w:styleId="39">
    <w:name w:val="标题 #1_"/>
    <w:basedOn w:val="25"/>
    <w:link w:val="40"/>
    <w:unhideWhenUsed/>
    <w:qFormat/>
    <w:uiPriority w:val="99"/>
    <w:rPr>
      <w:rFonts w:hint="eastAsia" w:ascii="MingLiU" w:hAnsi="MingLiU" w:eastAsia="MingLiU"/>
      <w:b/>
      <w:sz w:val="42"/>
      <w:lang w:val="zh-CN" w:eastAsia="zh-CN"/>
    </w:rPr>
  </w:style>
  <w:style w:type="paragraph" w:customStyle="1" w:styleId="40">
    <w:name w:val="标题 #1"/>
    <w:basedOn w:val="1"/>
    <w:link w:val="39"/>
    <w:unhideWhenUsed/>
    <w:qFormat/>
    <w:uiPriority w:val="99"/>
    <w:pPr>
      <w:shd w:val="clear" w:color="auto" w:fill="FFFFFF"/>
      <w:spacing w:before="40" w:after="820"/>
      <w:jc w:val="center"/>
      <w:outlineLvl w:val="0"/>
    </w:pPr>
    <w:rPr>
      <w:rFonts w:hint="eastAsia" w:ascii="MingLiU" w:hAnsi="MingLiU" w:eastAsia="MingLiU"/>
      <w:b/>
      <w:sz w:val="42"/>
      <w:lang w:val="zh-CN"/>
    </w:rPr>
  </w:style>
  <w:style w:type="character" w:customStyle="1" w:styleId="41">
    <w:name w:val="font11"/>
    <w:basedOn w:val="25"/>
    <w:qFormat/>
    <w:uiPriority w:val="0"/>
    <w:rPr>
      <w:rFonts w:hint="eastAsia" w:ascii="宋体" w:hAnsi="宋体" w:eastAsia="宋体" w:cs="宋体"/>
      <w:color w:val="000000"/>
      <w:sz w:val="22"/>
      <w:szCs w:val="22"/>
      <w:u w:val="none"/>
    </w:rPr>
  </w:style>
  <w:style w:type="character" w:customStyle="1" w:styleId="42">
    <w:name w:val="正文文本 (5)_"/>
    <w:basedOn w:val="25"/>
    <w:link w:val="43"/>
    <w:unhideWhenUsed/>
    <w:qFormat/>
    <w:uiPriority w:val="99"/>
    <w:rPr>
      <w:rFonts w:hint="eastAsia" w:ascii="Times New Roman" w:hAnsi="Times New Roman" w:eastAsia="Times New Roman"/>
      <w:sz w:val="28"/>
      <w:lang w:val="zh-CN" w:eastAsia="zh-CN"/>
    </w:rPr>
  </w:style>
  <w:style w:type="paragraph" w:customStyle="1" w:styleId="43">
    <w:name w:val="正文文本 (5)"/>
    <w:basedOn w:val="1"/>
    <w:link w:val="42"/>
    <w:unhideWhenUsed/>
    <w:qFormat/>
    <w:uiPriority w:val="99"/>
    <w:pPr>
      <w:shd w:val="clear" w:color="auto" w:fill="FFFFFF"/>
      <w:spacing w:after="120"/>
      <w:ind w:firstLine="140"/>
    </w:pPr>
    <w:rPr>
      <w:rFonts w:hint="eastAsia" w:ascii="Times New Roman" w:hAnsi="Times New Roman" w:eastAsia="Times New Roman"/>
      <w:sz w:val="28"/>
      <w:lang w:val="zh-CN"/>
    </w:rPr>
  </w:style>
  <w:style w:type="character" w:customStyle="1" w:styleId="44">
    <w:name w:val="正文文本 (4)_"/>
    <w:basedOn w:val="25"/>
    <w:link w:val="45"/>
    <w:unhideWhenUsed/>
    <w:qFormat/>
    <w:uiPriority w:val="99"/>
    <w:rPr>
      <w:rFonts w:hint="eastAsia" w:ascii="Times New Roman" w:hAnsi="Times New Roman" w:eastAsia="Times New Roman"/>
      <w:sz w:val="20"/>
      <w:lang w:val="zh-CN" w:eastAsia="zh-CN"/>
    </w:rPr>
  </w:style>
  <w:style w:type="paragraph" w:customStyle="1" w:styleId="45">
    <w:name w:val="正文文本 (4)"/>
    <w:basedOn w:val="1"/>
    <w:link w:val="44"/>
    <w:unhideWhenUsed/>
    <w:qFormat/>
    <w:uiPriority w:val="99"/>
    <w:pPr>
      <w:shd w:val="clear" w:color="auto" w:fill="FFFFFF"/>
      <w:spacing w:line="398" w:lineRule="auto"/>
      <w:ind w:firstLine="440"/>
    </w:pPr>
    <w:rPr>
      <w:rFonts w:hint="eastAsia" w:ascii="Times New Roman" w:hAnsi="Times New Roman" w:eastAsia="Times New Roman"/>
      <w:sz w:val="20"/>
      <w:lang w:val="zh-CN"/>
    </w:rPr>
  </w:style>
  <w:style w:type="character" w:customStyle="1" w:styleId="46">
    <w:name w:val="正文文本 (6)_"/>
    <w:basedOn w:val="25"/>
    <w:link w:val="47"/>
    <w:unhideWhenUsed/>
    <w:qFormat/>
    <w:uiPriority w:val="99"/>
    <w:rPr>
      <w:rFonts w:hint="eastAsia" w:ascii="MingLiU" w:hAnsi="MingLiU" w:eastAsia="MingLiU"/>
      <w:sz w:val="26"/>
      <w:lang w:val="zh-CN" w:eastAsia="zh-CN"/>
    </w:rPr>
  </w:style>
  <w:style w:type="paragraph" w:customStyle="1" w:styleId="47">
    <w:name w:val="正文文本 (6)"/>
    <w:basedOn w:val="1"/>
    <w:link w:val="46"/>
    <w:unhideWhenUsed/>
    <w:qFormat/>
    <w:uiPriority w:val="99"/>
    <w:pPr>
      <w:shd w:val="clear" w:color="auto" w:fill="FFFFFF"/>
      <w:spacing w:after="120"/>
      <w:ind w:firstLine="140"/>
    </w:pPr>
    <w:rPr>
      <w:rFonts w:hint="eastAsia" w:ascii="MingLiU" w:hAnsi="MingLiU" w:eastAsia="MingLiU"/>
      <w:sz w:val="26"/>
      <w:lang w:val="zh-CN"/>
    </w:rPr>
  </w:style>
  <w:style w:type="character" w:customStyle="1" w:styleId="48">
    <w:name w:val="标题 #2_"/>
    <w:basedOn w:val="25"/>
    <w:link w:val="49"/>
    <w:unhideWhenUsed/>
    <w:qFormat/>
    <w:uiPriority w:val="99"/>
    <w:rPr>
      <w:rFonts w:hint="eastAsia" w:ascii="MingLiU" w:hAnsi="MingLiU" w:eastAsia="MingLiU"/>
      <w:b/>
      <w:sz w:val="32"/>
      <w:lang w:val="zh-CN" w:eastAsia="zh-CN"/>
    </w:rPr>
  </w:style>
  <w:style w:type="paragraph" w:customStyle="1" w:styleId="49">
    <w:name w:val="标题 #2"/>
    <w:basedOn w:val="1"/>
    <w:link w:val="48"/>
    <w:unhideWhenUsed/>
    <w:qFormat/>
    <w:uiPriority w:val="99"/>
    <w:pPr>
      <w:shd w:val="clear" w:color="auto" w:fill="FFFFFF"/>
      <w:spacing w:after="260"/>
      <w:outlineLvl w:val="1"/>
    </w:pPr>
    <w:rPr>
      <w:rFonts w:hint="eastAsia" w:ascii="MingLiU" w:hAnsi="MingLiU" w:eastAsia="MingLiU"/>
      <w:b/>
      <w:sz w:val="32"/>
      <w:lang w:val="zh-CN"/>
    </w:rPr>
  </w:style>
  <w:style w:type="character" w:customStyle="1" w:styleId="50">
    <w:name w:val="font61"/>
    <w:basedOn w:val="25"/>
    <w:qFormat/>
    <w:uiPriority w:val="0"/>
    <w:rPr>
      <w:rFonts w:hint="default" w:ascii="Calibri" w:hAnsi="Calibri" w:cs="Calibri"/>
      <w:color w:val="000000"/>
      <w:sz w:val="22"/>
      <w:szCs w:val="22"/>
      <w:u w:val="none"/>
    </w:rPr>
  </w:style>
  <w:style w:type="character" w:customStyle="1" w:styleId="51">
    <w:name w:val="目录_"/>
    <w:basedOn w:val="25"/>
    <w:link w:val="52"/>
    <w:autoRedefine/>
    <w:unhideWhenUsed/>
    <w:qFormat/>
    <w:uiPriority w:val="99"/>
    <w:rPr>
      <w:rFonts w:hint="eastAsia" w:ascii="MingLiU" w:hAnsi="MingLiU" w:eastAsia="MingLiU"/>
      <w:sz w:val="20"/>
      <w:lang w:val="zh-CN" w:eastAsia="zh-CN"/>
    </w:rPr>
  </w:style>
  <w:style w:type="paragraph" w:customStyle="1" w:styleId="52">
    <w:name w:val="目录"/>
    <w:basedOn w:val="1"/>
    <w:link w:val="51"/>
    <w:unhideWhenUsed/>
    <w:qFormat/>
    <w:uiPriority w:val="99"/>
    <w:pPr>
      <w:shd w:val="clear" w:color="auto" w:fill="FFFFFF"/>
      <w:ind w:firstLine="840"/>
    </w:pPr>
    <w:rPr>
      <w:rFonts w:hint="eastAsia" w:ascii="MingLiU" w:hAnsi="MingLiU" w:eastAsia="MingLiU"/>
      <w:sz w:val="20"/>
      <w:lang w:val="zh-CN"/>
    </w:rPr>
  </w:style>
  <w:style w:type="character" w:customStyle="1" w:styleId="53">
    <w:name w:val="正文文本 (8)_"/>
    <w:basedOn w:val="25"/>
    <w:link w:val="54"/>
    <w:unhideWhenUsed/>
    <w:qFormat/>
    <w:uiPriority w:val="99"/>
    <w:rPr>
      <w:rFonts w:hint="eastAsia" w:ascii="MingLiU" w:hAnsi="MingLiU" w:eastAsia="MingLiU"/>
      <w:b/>
      <w:sz w:val="42"/>
      <w:lang w:val="zh-CN" w:eastAsia="zh-CN"/>
    </w:rPr>
  </w:style>
  <w:style w:type="paragraph" w:customStyle="1" w:styleId="54">
    <w:name w:val="正文文本 (8)"/>
    <w:basedOn w:val="1"/>
    <w:link w:val="53"/>
    <w:unhideWhenUsed/>
    <w:qFormat/>
    <w:uiPriority w:val="99"/>
    <w:pPr>
      <w:shd w:val="clear" w:color="auto" w:fill="FFFFFF"/>
      <w:jc w:val="center"/>
    </w:pPr>
    <w:rPr>
      <w:rFonts w:hint="eastAsia" w:ascii="MingLiU" w:hAnsi="MingLiU" w:eastAsia="MingLiU"/>
      <w:b/>
      <w:sz w:val="42"/>
      <w:lang w:val="zh-CN"/>
    </w:rPr>
  </w:style>
  <w:style w:type="character" w:customStyle="1" w:styleId="55">
    <w:name w:val="标题 #3_"/>
    <w:basedOn w:val="25"/>
    <w:link w:val="56"/>
    <w:unhideWhenUsed/>
    <w:qFormat/>
    <w:uiPriority w:val="99"/>
    <w:rPr>
      <w:rFonts w:hint="eastAsia" w:ascii="MingLiU" w:hAnsi="MingLiU" w:eastAsia="MingLiU"/>
      <w:sz w:val="26"/>
      <w:lang w:val="zh-CN" w:eastAsia="zh-CN"/>
    </w:rPr>
  </w:style>
  <w:style w:type="paragraph" w:customStyle="1" w:styleId="56">
    <w:name w:val="标题 #3"/>
    <w:basedOn w:val="1"/>
    <w:link w:val="55"/>
    <w:unhideWhenUsed/>
    <w:qFormat/>
    <w:uiPriority w:val="99"/>
    <w:pPr>
      <w:shd w:val="clear" w:color="auto" w:fill="FFFFFF"/>
      <w:spacing w:after="240"/>
      <w:ind w:firstLine="160"/>
      <w:outlineLvl w:val="2"/>
    </w:pPr>
    <w:rPr>
      <w:rFonts w:hint="eastAsia" w:ascii="MingLiU" w:hAnsi="MingLiU" w:eastAsia="MingLiU"/>
      <w:sz w:val="26"/>
      <w:lang w:val="zh-CN"/>
    </w:rPr>
  </w:style>
  <w:style w:type="character" w:customStyle="1" w:styleId="57">
    <w:name w:val="表格标题_"/>
    <w:basedOn w:val="25"/>
    <w:link w:val="58"/>
    <w:unhideWhenUsed/>
    <w:qFormat/>
    <w:uiPriority w:val="99"/>
    <w:rPr>
      <w:rFonts w:hint="eastAsia" w:ascii="MingLiU" w:hAnsi="MingLiU" w:eastAsia="MingLiU"/>
      <w:sz w:val="20"/>
      <w:lang w:val="zh-CN" w:eastAsia="zh-CN"/>
    </w:rPr>
  </w:style>
  <w:style w:type="paragraph" w:customStyle="1" w:styleId="58">
    <w:name w:val="表格标题"/>
    <w:basedOn w:val="1"/>
    <w:link w:val="57"/>
    <w:unhideWhenUsed/>
    <w:qFormat/>
    <w:uiPriority w:val="99"/>
    <w:pPr>
      <w:shd w:val="clear" w:color="auto" w:fill="FFFFFF"/>
    </w:pPr>
    <w:rPr>
      <w:rFonts w:hint="eastAsia" w:ascii="MingLiU" w:hAnsi="MingLiU" w:eastAsia="MingLiU"/>
      <w:sz w:val="20"/>
      <w:lang w:val="zh-CN"/>
    </w:rPr>
  </w:style>
  <w:style w:type="character" w:customStyle="1" w:styleId="59">
    <w:name w:val="正文文本 (7)_"/>
    <w:basedOn w:val="25"/>
    <w:link w:val="60"/>
    <w:unhideWhenUsed/>
    <w:qFormat/>
    <w:uiPriority w:val="99"/>
    <w:rPr>
      <w:rFonts w:hint="eastAsia" w:ascii="MingLiU" w:hAnsi="MingLiU" w:eastAsia="MingLiU"/>
      <w:b/>
      <w:sz w:val="32"/>
      <w:lang w:val="zh-CN" w:eastAsia="zh-CN"/>
    </w:rPr>
  </w:style>
  <w:style w:type="paragraph" w:customStyle="1" w:styleId="60">
    <w:name w:val="正文文本 (7)"/>
    <w:basedOn w:val="1"/>
    <w:link w:val="59"/>
    <w:autoRedefine/>
    <w:unhideWhenUsed/>
    <w:qFormat/>
    <w:uiPriority w:val="99"/>
    <w:pPr>
      <w:shd w:val="clear" w:color="auto" w:fill="FFFFFF"/>
      <w:jc w:val="center"/>
    </w:pPr>
    <w:rPr>
      <w:rFonts w:hint="eastAsia" w:ascii="MingLiU" w:hAnsi="MingLiU" w:eastAsia="MingLiU"/>
      <w:b/>
      <w:sz w:val="32"/>
      <w:lang w:val="zh-CN"/>
    </w:rPr>
  </w:style>
  <w:style w:type="character" w:customStyle="1" w:styleId="61">
    <w:name w:val="font31"/>
    <w:basedOn w:val="25"/>
    <w:qFormat/>
    <w:uiPriority w:val="0"/>
    <w:rPr>
      <w:rFonts w:ascii="Calibri" w:hAnsi="Calibri" w:cs="Calibri"/>
      <w:color w:val="000000"/>
      <w:sz w:val="22"/>
      <w:szCs w:val="22"/>
      <w:u w:val="none"/>
    </w:rPr>
  </w:style>
  <w:style w:type="character" w:customStyle="1" w:styleId="62">
    <w:name w:val="其他_"/>
    <w:basedOn w:val="25"/>
    <w:link w:val="63"/>
    <w:unhideWhenUsed/>
    <w:qFormat/>
    <w:uiPriority w:val="99"/>
    <w:rPr>
      <w:rFonts w:hint="eastAsia" w:ascii="MingLiU" w:hAnsi="MingLiU" w:eastAsia="MingLiU"/>
      <w:sz w:val="20"/>
      <w:lang w:val="zh-CN" w:eastAsia="zh-CN"/>
    </w:rPr>
  </w:style>
  <w:style w:type="paragraph" w:customStyle="1" w:styleId="63">
    <w:name w:val="其他"/>
    <w:basedOn w:val="1"/>
    <w:link w:val="62"/>
    <w:unhideWhenUsed/>
    <w:qFormat/>
    <w:uiPriority w:val="99"/>
    <w:pPr>
      <w:shd w:val="clear" w:color="auto" w:fill="FFFFFF"/>
      <w:spacing w:line="398" w:lineRule="auto"/>
      <w:ind w:firstLine="400"/>
    </w:pPr>
    <w:rPr>
      <w:rFonts w:hint="eastAsia" w:ascii="MingLiU" w:hAnsi="MingLiU" w:eastAsia="MingLiU"/>
      <w:sz w:val="20"/>
      <w:lang w:val="zh-CN"/>
    </w:rPr>
  </w:style>
  <w:style w:type="character" w:customStyle="1" w:styleId="64">
    <w:name w:val="正文文本_"/>
    <w:basedOn w:val="25"/>
    <w:link w:val="65"/>
    <w:autoRedefine/>
    <w:unhideWhenUsed/>
    <w:qFormat/>
    <w:uiPriority w:val="99"/>
    <w:rPr>
      <w:rFonts w:hint="eastAsia" w:ascii="MingLiU" w:hAnsi="MingLiU" w:eastAsia="MingLiU"/>
      <w:sz w:val="20"/>
      <w:lang w:val="zh-CN" w:eastAsia="zh-CN"/>
    </w:rPr>
  </w:style>
  <w:style w:type="paragraph" w:customStyle="1" w:styleId="65">
    <w:name w:val="正文文本1"/>
    <w:basedOn w:val="1"/>
    <w:link w:val="64"/>
    <w:autoRedefine/>
    <w:unhideWhenUsed/>
    <w:qFormat/>
    <w:uiPriority w:val="99"/>
    <w:pPr>
      <w:shd w:val="clear" w:color="auto" w:fill="FFFFFF"/>
      <w:spacing w:line="398" w:lineRule="auto"/>
      <w:ind w:firstLine="400"/>
    </w:pPr>
    <w:rPr>
      <w:rFonts w:hint="eastAsia" w:ascii="MingLiU" w:hAnsi="MingLiU" w:eastAsia="MingLiU"/>
      <w:sz w:val="20"/>
      <w:lang w:val="zh-CN"/>
    </w:rPr>
  </w:style>
  <w:style w:type="paragraph" w:customStyle="1" w:styleId="66">
    <w:name w:val="列出段落"/>
    <w:basedOn w:val="1"/>
    <w:autoRedefine/>
    <w:qFormat/>
    <w:uiPriority w:val="1"/>
    <w:pPr>
      <w:spacing w:before="119"/>
      <w:ind w:left="542" w:firstLine="439"/>
    </w:pPr>
    <w:rPr>
      <w:rFonts w:ascii="宋体" w:hAnsi="宋体" w:cs="宋体"/>
      <w:lang w:val="zh-CN" w:bidi="zh-CN"/>
    </w:rPr>
  </w:style>
  <w:style w:type="paragraph" w:customStyle="1" w:styleId="67">
    <w:name w:val="Table Paragraph"/>
    <w:basedOn w:val="1"/>
    <w:unhideWhenUsed/>
    <w:qFormat/>
    <w:uiPriority w:val="1"/>
    <w:pPr>
      <w:autoSpaceDE w:val="0"/>
      <w:autoSpaceDN w:val="0"/>
    </w:pPr>
    <w:rPr>
      <w:rFonts w:hint="eastAsia" w:ascii="宋体" w:hAnsi="宋体"/>
      <w:sz w:val="22"/>
      <w:lang w:val="zh-CN"/>
    </w:rPr>
  </w:style>
  <w:style w:type="paragraph" w:customStyle="1" w:styleId="68">
    <w:name w:val="WPSOffice手动目录 1"/>
    <w:autoRedefine/>
    <w:qFormat/>
    <w:uiPriority w:val="0"/>
    <w:rPr>
      <w:rFonts w:ascii="Calibri" w:hAnsi="Calibri" w:eastAsia="宋体" w:cs="Times New Roman"/>
      <w:lang w:val="en-US" w:eastAsia="zh-CN" w:bidi="ar-SA"/>
    </w:rPr>
  </w:style>
  <w:style w:type="paragraph" w:customStyle="1" w:styleId="69">
    <w:name w:val="WPSOffice手动目录 3"/>
    <w:qFormat/>
    <w:uiPriority w:val="0"/>
    <w:pPr>
      <w:ind w:leftChars="400"/>
    </w:pPr>
    <w:rPr>
      <w:rFonts w:ascii="Times New Roman" w:hAnsi="Times New Roman" w:eastAsia="宋体" w:cs="Times New Roman"/>
      <w:lang w:val="en-US" w:eastAsia="zh-CN" w:bidi="ar-SA"/>
    </w:rPr>
  </w:style>
  <w:style w:type="paragraph" w:customStyle="1" w:styleId="70">
    <w:name w:val="WPSOffice手动目录 2"/>
    <w:autoRedefine/>
    <w:qFormat/>
    <w:uiPriority w:val="0"/>
    <w:pPr>
      <w:ind w:leftChars="200"/>
    </w:pPr>
    <w:rPr>
      <w:rFonts w:ascii="Calibri" w:hAnsi="Calibri" w:eastAsia="宋体" w:cs="Times New Roman"/>
      <w:lang w:val="en-US" w:eastAsia="zh-CN" w:bidi="ar-SA"/>
    </w:rPr>
  </w:style>
  <w:style w:type="paragraph" w:customStyle="1" w:styleId="71">
    <w:name w:val="List Paragraph"/>
    <w:basedOn w:val="1"/>
    <w:autoRedefine/>
    <w:qFormat/>
    <w:uiPriority w:val="34"/>
    <w:pPr>
      <w:widowControl w:val="0"/>
      <w:ind w:firstLine="420" w:firstLineChars="200"/>
      <w:jc w:val="both"/>
    </w:pPr>
    <w:rPr>
      <w:rFonts w:ascii="Calibri" w:hAnsi="Calibri"/>
      <w:kern w:val="2"/>
      <w:sz w:val="21"/>
      <w:szCs w:val="22"/>
    </w:rPr>
  </w:style>
  <w:style w:type="paragraph" w:customStyle="1" w:styleId="72">
    <w:name w:val="列表段落1"/>
    <w:basedOn w:val="1"/>
    <w:qFormat/>
    <w:uiPriority w:val="34"/>
    <w:pPr>
      <w:ind w:firstLine="420" w:firstLineChars="200"/>
    </w:pPr>
  </w:style>
  <w:style w:type="paragraph" w:customStyle="1" w:styleId="73">
    <w:name w:val="Table Text"/>
    <w:basedOn w:val="1"/>
    <w:semiHidden/>
    <w:qFormat/>
    <w:uiPriority w:val="0"/>
    <w:rPr>
      <w:rFonts w:ascii="宋体" w:hAnsi="宋体" w:eastAsia="宋体" w:cs="宋体"/>
      <w:sz w:val="25"/>
      <w:szCs w:val="25"/>
      <w:lang w:val="en-US" w:eastAsia="en-US" w:bidi="ar-SA"/>
    </w:rPr>
  </w:style>
  <w:style w:type="table" w:customStyle="1" w:styleId="74">
    <w:name w:val="Table Normal"/>
    <w:semiHidden/>
    <w:unhideWhenUsed/>
    <w:qFormat/>
    <w:uiPriority w:val="0"/>
    <w:tblPr>
      <w:tblCellMar>
        <w:top w:w="0" w:type="dxa"/>
        <w:left w:w="0" w:type="dxa"/>
        <w:bottom w:w="0" w:type="dxa"/>
        <w:right w:w="0" w:type="dxa"/>
      </w:tblCellMar>
    </w:tblPr>
  </w:style>
  <w:style w:type="character" w:customStyle="1" w:styleId="75">
    <w:name w:val="font21"/>
    <w:basedOn w:val="25"/>
    <w:qFormat/>
    <w:uiPriority w:val="0"/>
    <w:rPr>
      <w:rFonts w:hint="eastAsia" w:ascii="仿宋" w:hAnsi="仿宋" w:eastAsia="仿宋" w:cs="仿宋"/>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4037;&#20316;&#26381;4.12.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0017fd9c-12bd-45f3-9205-664065d21832</errorID>
      <errorWord>葵花籽</errorWord>
      <group>L1_Knowledge</group>
      <groupName>知识性问题</groupName>
      <ability>L2_Knowledge</ability>
      <abilityName>其他知识</abilityName>
      <candidateList>
        <item>葵花子</item>
      </candidateList>
      <explain/>
      <paraID>744104F4</paraID>
      <start>0</start>
      <end>3</end>
      <status>ignored</status>
      <modifiedWord/>
      <trackRevisions>false</trackRevisions>
    </reviewItem>
    <reviewItem>
      <errorID>d3ee9659-35ec-49b6-b3cd-e8ecf7c7a9fb</errorID>
      <errorWord>月1日实施</errorWord>
      <group>L1_Word</group>
      <groupName>字词问题</groupName>
      <ability>L2_Typo</ability>
      <abilityName>字词错误</abilityName>
      <candidateList>
        <item>月1日起实施</item>
      </candidateList>
      <explain/>
      <paraID>47D16D49</paraID>
      <start>45</start>
      <end>50</end>
      <status>ignored</status>
      <modifiedWord/>
      <trackRevisions>false</trackRevisions>
    </reviewItem>
    <reviewItem>
      <errorID>7e343601-564e-4c9c-a8e8-ab9938a5a147</errorID>
      <errorWord>月1日实施</errorWord>
      <group>L1_Word</group>
      <groupName>字词问题</groupName>
      <ability>L2_Typo</ability>
      <abilityName>字词错误</abilityName>
      <candidateList>
        <item>月1日起实施</item>
      </candidateList>
      <explain/>
      <paraID>7EC19B9B</paraID>
      <start>44</start>
      <end>49</end>
      <status>ignored</status>
      <modifiedWord/>
      <trackRevisions>false</trackRevisions>
    </reviewItem>
    <reviewItem>
      <errorID>567a221a-cb46-4fe2-90b5-f197e733cf16</errorID>
      <errorWord>粘度</errorWord>
      <group>L1_Word</group>
      <groupName>字词问题</groupName>
      <ability>L2_Alias</ability>
      <abilityName>也作/曾用词</abilityName>
      <candidateList>
        <item>黏度</item>
      </candidateList>
      <explain>词汇[粘度]为不规范表述或旧称，其规范书面表述为[黏度]。</explain>
      <paraID>52D8D5A1</paraID>
      <start>29</start>
      <end>31</end>
      <status>ignored</status>
      <modifiedWord/>
      <trackRevisions>false</trackRevisions>
    </reviewItem>
    <reviewItem>
      <errorID>57a7b74b-decb-4a33-94f9-3e7033f10ab9</errorID>
      <errorWord>晰</errorWord>
      <group>L1_Word</group>
      <groupName>字词问题</groupName>
      <ability>L2_Typo</ability>
      <abilityName>字词错误</abilityName>
      <candidateList>
        <item>晰地</item>
      </candidateList>
      <explain/>
      <paraID>57E143F4</paraID>
      <start>88</start>
      <end>89</end>
      <status>ignored</status>
      <modifiedWord/>
      <trackRevisions>false</trackRevisions>
    </reviewItem>
    <reviewItem>
      <errorID>2ea78cc2-dc4c-418f-a9c3-da846a4c92d0</errorID>
      <errorWord>（</errorWord>
      <group>L1_Punc</group>
      <groupName>标点问题</groupName>
      <ability>L2_Punc_CN</ability>
      <abilityName>标点符号问题</abilityName>
      <candidateList/>
      <explain>同一形式括号套用。</explain>
      <paraID>7F6BEB18</paraID>
      <start>139</start>
      <end>140</end>
      <status>ignored</status>
      <modifiedWord/>
      <trackRevisions>false</trackRevisions>
    </reviewItem>
    <reviewItem>
      <errorID>28d5bea3-b2d1-4b38-afcd-1b9eb9b5dd12</errorID>
      <errorWord>）</errorWord>
      <group>L1_Punc</group>
      <groupName>标点问题</groupName>
      <ability>L2_Punc_CN</ability>
      <abilityName>标点符号问题</abilityName>
      <candidateList/>
      <explain>同一形式括号套用。</explain>
      <paraID>7F6BEB18</paraID>
      <start>145</start>
      <end>146</end>
      <status>ignored</status>
      <modifiedWord/>
      <trackRevisions>false</trackRevisions>
    </reviewItem>
    <reviewItem>
      <errorID>5315b59f-209f-4ee4-bbba-67a2e7204163</errorID>
      <errorWord>，</errorWord>
      <group>L1_Word</group>
      <groupName>字词问题</groupName>
      <ability>L2_Typo</ability>
      <abilityName>字词错误</abilityName>
      <candidateList>
        <item>，在</item>
      </candidateList>
      <explain/>
      <paraID>2BF9AD23</paraID>
      <start>47</start>
      <end>48</end>
      <status>ignored</status>
      <modifiedWord/>
      <trackRevisions>false</trackRevisions>
    </reviewItem>
    <reviewItem>
      <errorID>cf355b3e-ed4f-45fb-8607-8c0c3895d86a</errorID>
      <errorWord>，</errorWord>
      <group>L1_Word</group>
      <groupName>字词问题</groupName>
      <ability>L2_Typo</ability>
      <abilityName>字词错误</abilityName>
      <candidateList>
        <item>，由</item>
      </candidateList>
      <explain/>
      <paraID>356DC8C9</paraID>
      <start>66</start>
      <end>67</end>
      <status>ignored</status>
      <modifiedWord/>
      <trackRevisions>false</trackRevisions>
    </reviewItem>
    <reviewItem>
      <errorID>fb48732d-d1af-4a70-ac4c-98f9c6853d9a</errorID>
      <errorWord>（</errorWord>
      <group>L1_Punc</group>
      <groupName>标点问题</groupName>
      <ability>L2_Punc_CN</ability>
      <abilityName>标点符号问题</abilityName>
      <candidateList/>
      <explain>同一形式括号套用。</explain>
      <paraID>7CACE85E</paraID>
      <start>53</start>
      <end>54</end>
      <status>ignored</status>
      <modifiedWord/>
      <trackRevisions>false</trackRevisions>
    </reviewItem>
    <reviewItem>
      <errorID>67e4017c-3697-4bb7-85df-a6aebfa9ac4d</errorID>
      <errorWord>）</errorWord>
      <group>L1_Punc</group>
      <groupName>标点问题</groupName>
      <ability>L2_Punc_CN</ability>
      <abilityName>标点符号问题</abilityName>
      <candidateList/>
      <explain>同一形式括号套用。</explain>
      <paraID>7CACE85E</paraID>
      <start>66</start>
      <end>67</end>
      <status>ignored</status>
      <modifiedWord/>
      <trackRevisions>false</trackRevisions>
    </reviewItem>
    <reviewItem>
      <errorID>2d6348cd-7713-42f4-8154-1db321b75b68</errorID>
      <errorWord>（</errorWord>
      <group>L1_Punc</group>
      <groupName>标点问题</groupName>
      <ability>L2_Punc_CN</ability>
      <abilityName>标点符号问题</abilityName>
      <candidateList/>
      <explain>同一形式括号套用。</explain>
      <paraID>7CACE85E</paraID>
      <start>76</start>
      <end>77</end>
      <status>ignored</status>
      <modifiedWord/>
      <trackRevisions>false</trackRevisions>
    </reviewItem>
    <reviewItem>
      <errorID>ce31fa9f-06f4-45c8-b6ba-63eb844185b2</errorID>
      <errorWord>）</errorWord>
      <group>L1_Punc</group>
      <groupName>标点问题</groupName>
      <ability>L2_Punc_CN</ability>
      <abilityName>标点符号问题</abilityName>
      <candidateList/>
      <explain>同一形式括号套用。</explain>
      <paraID>7CACE85E</paraID>
      <start>86</start>
      <end>87</end>
      <status>ignored</status>
      <modifiedWord/>
      <trackRevisions>false</trackRevisions>
    </reviewItem>
    <reviewItem>
      <errorID>68d0be81-6a17-42bd-a80b-5b693a957ca0</errorID>
      <errorWord>价</errorWord>
      <group>L1_Word</group>
      <groupName>字词问题</groupName>
      <ability>L2_Typo</ability>
      <abilityName>字词错误</abilityName>
      <candidateList>
        <item>价格</item>
      </candidateList>
      <explain/>
      <paraID>39DA4FE6</paraID>
      <start>140</start>
      <end>141</end>
      <status>ignored</status>
      <modifiedWord/>
      <trackRevisions>false</trackRevisions>
    </reviewItem>
    <reviewItem>
      <errorID>73dad4b2-6d64-4dfd-a090-7a01ae7b8875</errorID>
      <errorWord>-</errorWord>
      <group>L1_Format</group>
      <groupName>格式问题</groupName>
      <ability>L2_HalfPunc_CN</ability>
      <abilityName>全半角问题</abilityName>
      <candidateList>
        <item>－</item>
      </candidateList>
      <explain>文本全半角错误。</explain>
      <paraID>385986DE</paraID>
      <start>113</start>
      <end>114</end>
      <status>modified</status>
      <modifiedWord>－</modifiedWord>
      <trackRevisions>false</trackRevisions>
    </reviewItem>
    <reviewItem>
      <errorID>48392c3b-5d87-48ce-bc26-ae2e283d0063</errorID>
      <errorWord>(</errorWord>
      <group>L1_Format</group>
      <groupName>格式问题</groupName>
      <ability>L2_HalfPunc_CN</ability>
      <abilityName>全半角问题</abilityName>
      <candidateList>
        <item>（</item>
      </candidateList>
      <explain>文本全半角错误。</explain>
      <paraID>368EF23B</paraID>
      <start>16</start>
      <end>17</end>
      <status>modified</status>
      <modifiedWord>（</modifiedWord>
      <trackRevisions>false</trackRevisions>
    </reviewItem>
    <reviewItem>
      <errorID>e5475791-2725-4a55-a919-0896bb8a0dd8</errorID>
      <errorWord>)</errorWord>
      <group>L1_Format</group>
      <groupName>格式问题</groupName>
      <ability>L2_HalfPunc_CN</ability>
      <abilityName>全半角问题</abilityName>
      <candidateList>
        <item>）</item>
      </candidateList>
      <explain>文本全半角错误。</explain>
      <paraID>368EF23B</paraID>
      <start>37</start>
      <end>38</end>
      <status>modified</status>
      <modifiedWord>）</modifiedWord>
      <trackRevisions>false</trackRevisions>
    </reviewItem>
    <reviewItem>
      <errorID>75913704-d7e4-4a72-88e3-b10f25c9443c</errorID>
      <errorWord>(</errorWord>
      <group>L1_Format</group>
      <groupName>格式问题</groupName>
      <ability>L2_HalfPunc_CN</ability>
      <abilityName>全半角问题</abilityName>
      <candidateList>
        <item>（</item>
      </candidateList>
      <explain>文本全半角错误。</explain>
      <paraID>368EF23B</paraID>
      <start>43</start>
      <end>44</end>
      <status>modified</status>
      <modifiedWord>（</modifiedWord>
      <trackRevisions>false</trackRevisions>
    </reviewItem>
    <reviewItem>
      <errorID>e38a04b1-8d1f-4b5b-a49d-a96d8efa43e2</errorID>
      <errorWord>)</errorWord>
      <group>L1_Format</group>
      <groupName>格式问题</groupName>
      <ability>L2_HalfPunc_CN</ability>
      <abilityName>全半角问题</abilityName>
      <candidateList>
        <item>）</item>
      </candidateList>
      <explain>文本全半角错误。</explain>
      <paraID>368EF23B</paraID>
      <start>46</start>
      <end>47</end>
      <status>modified</status>
      <modifiedWord>）</modifiedWord>
      <trackRevisions>false</trackRevisions>
    </reviewItem>
    <reviewItem>
      <errorID>6ede3c61-9770-478f-96b9-87065981f193</errorID>
      <errorWord>(</errorWord>
      <group>L1_Format</group>
      <groupName>格式问题</groupName>
      <ability>L2_HalfPunc_CN</ability>
      <abilityName>全半角问题</abilityName>
      <candidateList>
        <item>（</item>
      </candidateList>
      <explain>文本全半角错误。</explain>
      <paraID>67365DAB</paraID>
      <start>21</start>
      <end>22</end>
      <status>modified</status>
      <modifiedWord>（</modifiedWord>
      <trackRevisions>false</trackRevisions>
    </reviewItem>
    <reviewItem>
      <errorID>f59ddadc-b3ff-477a-b8d2-823f23ebbc25</errorID>
      <errorWord>)</errorWord>
      <group>L1_Format</group>
      <groupName>格式问题</groupName>
      <ability>L2_HalfPunc_CN</ability>
      <abilityName>全半角问题</abilityName>
      <candidateList>
        <item>）</item>
      </candidateList>
      <explain>文本全半角错误。</explain>
      <paraID>67365DAB</paraID>
      <start>48</start>
      <end>49</end>
      <status>modified</status>
      <modifiedWord>）</modifiedWord>
      <trackRevisions>false</trackRevisions>
    </reviewItem>
    <reviewItem>
      <errorID>3edd2771-c6d9-4424-af19-96460540712c</errorID>
      <errorWord>;</errorWord>
      <group>L1_Format</group>
      <groupName>格式问题</groupName>
      <ability>L2_HalfPunc_CN</ability>
      <abilityName>全半角问题</abilityName>
      <candidateList>
        <item>；</item>
      </candidateList>
      <explain>文本全半角错误。</explain>
      <paraID>67365DAB</paraID>
      <start>62</start>
      <end>63</end>
      <status>modified</status>
      <modifiedWord>；</modifiedWord>
      <trackRevisions>false</trackRevisions>
    </reviewItem>
    <reviewItem>
      <errorID>8f8b0635-4c20-4b8a-a68d-f68d4f388893</errorID>
      <errorWord>(</errorWord>
      <group>L1_Format</group>
      <groupName>格式问题</groupName>
      <ability>L2_HalfPunc_CN</ability>
      <abilityName>全半角问题</abilityName>
      <candidateList>
        <item>（</item>
      </candidateList>
      <explain>文本全半角错误。</explain>
      <paraID>61E1223E</paraID>
      <start>11</start>
      <end>12</end>
      <status>modified</status>
      <modifiedWord>（</modifiedWord>
      <trackRevisions>false</trackRevisions>
    </reviewItem>
    <reviewItem>
      <errorID>8205b439-4452-4aee-9097-4c96b971bad9</errorID>
      <errorWord>)</errorWord>
      <group>L1_Format</group>
      <groupName>格式问题</groupName>
      <ability>L2_HalfPunc_CN</ability>
      <abilityName>全半角问题</abilityName>
      <candidateList>
        <item>）</item>
      </candidateList>
      <explain>文本全半角错误。</explain>
      <paraID>61E1223E</paraID>
      <start>27</start>
      <end>28</end>
      <status>modified</status>
      <modifiedWord>）</modifiedWord>
      <trackRevisions>false</trackRevisions>
    </reviewItem>
    <reviewItem>
      <errorID>e4484d08-b7d3-440b-8624-dd8a6867e303</errorID>
      <errorWord>(</errorWord>
      <group>L1_Format</group>
      <groupName>格式问题</groupName>
      <ability>L2_HalfPunc_CN</ability>
      <abilityName>全半角问题</abilityName>
      <candidateList>
        <item>（</item>
      </candidateList>
      <explain>文本全半角错误。</explain>
      <paraID>61E1223E</paraID>
      <start>43</start>
      <end>44</end>
      <status>modified</status>
      <modifiedWord>（</modifiedWord>
      <trackRevisions>false</trackRevisions>
    </reviewItem>
    <reviewItem>
      <errorID>c82e5474-5aa4-4ea5-8b02-c1e42a2a890a</errorID>
      <errorWord>)</errorWord>
      <group>L1_Format</group>
      <groupName>格式问题</groupName>
      <ability>L2_HalfPunc_CN</ability>
      <abilityName>全半角问题</abilityName>
      <candidateList>
        <item>）</item>
      </candidateList>
      <explain>文本全半角错误。</explain>
      <paraID>61E1223E</paraID>
      <start>70</start>
      <end>71</end>
      <status>modified</status>
      <modifiedWord>）</modifiedWord>
      <trackRevisions>false</trackRevisions>
    </reviewItem>
    <reviewItem>
      <errorID>01d0670e-7dcd-469e-86c5-069b957be75a</errorID>
      <errorWord>;</errorWord>
      <group>L1_Format</group>
      <groupName>格式问题</groupName>
      <ability>L2_HalfPunc_CN</ability>
      <abilityName>全半角问题</abilityName>
      <candidateList>
        <item>；</item>
      </candidateList>
      <explain>文本全半角错误。</explain>
      <paraID>61E1223E</paraID>
      <start>84</start>
      <end>85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4c0ae9-7562-45b9-8eb1-e796928e35cb}">
  <ds:schemaRefs/>
</ds:datastoreItem>
</file>

<file path=docProps/app.xml><?xml version="1.0" encoding="utf-8"?>
<Properties xmlns="http://schemas.openxmlformats.org/officeDocument/2006/extended-properties" xmlns:vt="http://schemas.openxmlformats.org/officeDocument/2006/docPropsVTypes">
  <Template>工作服4.12.doc</Template>
  <Company>HP</Company>
  <Pages>37</Pages>
  <Words>12244</Words>
  <Characters>12936</Characters>
  <Lines>340</Lines>
  <Paragraphs>95</Paragraphs>
  <TotalTime>30</TotalTime>
  <ScaleCrop>false</ScaleCrop>
  <LinksUpToDate>false</LinksUpToDate>
  <CharactersWithSpaces>13110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2021-04-27T09:26:00Z</dcterms:created>
  <dc:creator>Administrator</dc:creator>
  <cp:lastModifiedBy>Administrator</cp:lastModifiedBy>
  <cp:lastPrinted>2026-08-12T08:50:00Z</cp:lastPrinted>
  <dcterms:modified xsi:type="dcterms:W3CDTF">2026-10-10T08:00:55Z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A172C6A3585644848FD9438894DF4056</vt:lpwstr>
  </property>
  <property fmtid="{D5CDD505-2E9C-101B-9397-08002B2CF9AE}" pid="4" name="commondata">
    <vt:lpwstr>eyJoZGlkIjoiZDE1OGRmZTUwYzBiYTFjYzc3MjA3MjhlMzQ4YzFjODcifQ==</vt:lpwstr>
  </property>
  <property fmtid="{D5CDD505-2E9C-101B-9397-08002B2CF9AE}" pid="5" name="KSOTemplateDocerSaveRecord">
    <vt:lpwstr>eyJoZGlkIjoiNTFjNzhhZGYwNjg0MTU4YTViYTk1YmY4ZGE2MDMzMDAiLCJ1c2VySWQiOiI0MTA5MjU2MDMifQ==</vt:lpwstr>
  </property>
</Properties>
</file>